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6B3D94" w:rsidRDefault="006B3D94" w:rsidP="006B3D94">
      <w:pPr>
        <w:jc w:val="center"/>
        <w:rPr>
          <w:b/>
          <w:sz w:val="26"/>
          <w:szCs w:val="26"/>
        </w:rPr>
      </w:pPr>
      <w:proofErr w:type="gramStart"/>
      <w:r w:rsidRPr="00AF3BE3">
        <w:rPr>
          <w:b/>
          <w:sz w:val="26"/>
          <w:szCs w:val="26"/>
        </w:rPr>
        <w:t>Региональный</w:t>
      </w:r>
      <w:proofErr w:type="gramEnd"/>
      <w:r w:rsidRPr="00AF3BE3"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Pr="00E90481" w:rsidRDefault="00F81597" w:rsidP="006B3D94">
      <w:pPr>
        <w:jc w:val="center"/>
        <w:rPr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Default="006B3D94" w:rsidP="006B3D94">
      <w:pPr>
        <w:jc w:val="center"/>
        <w:rPr>
          <w:b/>
          <w:i/>
          <w:color w:val="000000"/>
          <w:szCs w:val="24"/>
        </w:rPr>
      </w:pPr>
      <w:r w:rsidRPr="00885A05">
        <w:rPr>
          <w:b/>
          <w:i/>
          <w:color w:val="000000"/>
          <w:szCs w:val="24"/>
        </w:rPr>
        <w:t>«</w:t>
      </w:r>
      <w:r w:rsidR="0044386C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885A05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20</w:t>
      </w:r>
      <w:r>
        <w:rPr>
          <w:szCs w:val="24"/>
        </w:rPr>
        <w:t>/20</w:t>
      </w:r>
      <w:r w:rsidR="006B3D94">
        <w:rPr>
          <w:szCs w:val="24"/>
        </w:rPr>
        <w:t>21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4055D" w:rsidRPr="00F61521" w:rsidRDefault="006B3D94" w:rsidP="00F4055D">
      <w:pPr>
        <w:autoSpaceDE w:val="0"/>
        <w:autoSpaceDN w:val="0"/>
        <w:adjustRightInd w:val="0"/>
        <w:jc w:val="both"/>
        <w:rPr>
          <w:szCs w:val="24"/>
        </w:rPr>
      </w:pPr>
      <w:r w:rsidRPr="00F156C0">
        <w:rPr>
          <w:b/>
          <w:bCs/>
        </w:rPr>
        <w:t xml:space="preserve">Цель программы: </w:t>
      </w:r>
      <w:r w:rsidR="00F4055D" w:rsidRPr="00F61521">
        <w:rPr>
          <w:szCs w:val="24"/>
        </w:rPr>
        <w:t>совершенствование и (или) получение ново</w:t>
      </w:r>
      <w:proofErr w:type="gramStart"/>
      <w:r w:rsidR="00F4055D" w:rsidRPr="00F61521">
        <w:rPr>
          <w:szCs w:val="24"/>
        </w:rPr>
        <w:t>й(</w:t>
      </w:r>
      <w:proofErr w:type="gramEnd"/>
      <w:r w:rsidR="00F4055D" w:rsidRPr="00F61521">
        <w:rPr>
          <w:szCs w:val="24"/>
        </w:rPr>
        <w:t xml:space="preserve">-ых) компетенции(-й), необходимой(-ых) для профессиональной деятельности, и (или) </w:t>
      </w:r>
      <w:r w:rsidR="00F4055D" w:rsidRPr="00F61521">
        <w:rPr>
          <w:bCs/>
          <w:szCs w:val="24"/>
        </w:rPr>
        <w:t>повышение профессионального уровня в</w:t>
      </w:r>
      <w:r w:rsidR="00F4055D" w:rsidRPr="00F61521">
        <w:rPr>
          <w:szCs w:val="24"/>
        </w:rPr>
        <w:t xml:space="preserve"> сфере закупок товаров, работ, услуг с </w:t>
      </w:r>
      <w:r w:rsidR="00F4055D" w:rsidRPr="00F61521">
        <w:rPr>
          <w:szCs w:val="24"/>
          <w:lang w:val="en-US"/>
        </w:rPr>
        <w:t>c</w:t>
      </w:r>
      <w:proofErr w:type="spellStart"/>
      <w:r w:rsidR="00F4055D" w:rsidRPr="00F61521">
        <w:rPr>
          <w:bCs/>
          <w:szCs w:val="24"/>
        </w:rPr>
        <w:t>овершенствованием</w:t>
      </w:r>
      <w:proofErr w:type="spellEnd"/>
      <w:r w:rsidR="00F4055D" w:rsidRPr="00F61521">
        <w:rPr>
          <w:bCs/>
          <w:szCs w:val="24"/>
        </w:rPr>
        <w:t xml:space="preserve"> профессиональных компетенций в рамках имеющейся квалификации</w:t>
      </w:r>
      <w:r w:rsidR="00F4055D" w:rsidRPr="00F61521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  <w:r w:rsidR="00F4055D">
        <w:rPr>
          <w:rFonts w:eastAsia="Calibri"/>
          <w:bCs/>
          <w:szCs w:val="24"/>
        </w:rPr>
        <w:t xml:space="preserve">слушатель научится </w:t>
      </w:r>
      <w:r w:rsidR="00F4055D" w:rsidRPr="00F61521">
        <w:rPr>
          <w:szCs w:val="24"/>
        </w:rPr>
        <w:t xml:space="preserve">принимать организационно-управленческие решения и оценивать их последствия; </w:t>
      </w:r>
      <w:proofErr w:type="gramStart"/>
      <w:r w:rsidR="00F4055D" w:rsidRPr="00F61521">
        <w:rPr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F4055D" w:rsidRPr="00F61521">
        <w:rPr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B3D94" w:rsidRDefault="006B3D94" w:rsidP="00F4055D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81597" w:rsidRDefault="00F81597" w:rsidP="00F4055D">
      <w:pPr>
        <w:spacing w:line="228" w:lineRule="auto"/>
        <w:jc w:val="both"/>
        <w:rPr>
          <w:szCs w:val="24"/>
        </w:rPr>
      </w:pPr>
      <w:r w:rsidRPr="00411950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Cs w:val="24"/>
        </w:rPr>
        <w:t>поступающих</w:t>
      </w:r>
      <w:proofErr w:type="gramEnd"/>
      <w:r w:rsidRPr="00411950">
        <w:rPr>
          <w:b/>
          <w:bCs/>
          <w:szCs w:val="24"/>
        </w:rPr>
        <w:t xml:space="preserve"> для обучения по программе</w:t>
      </w:r>
      <w:r w:rsidR="00411950" w:rsidRPr="00411950">
        <w:rPr>
          <w:b/>
          <w:bCs/>
          <w:szCs w:val="24"/>
        </w:rPr>
        <w:t>:</w:t>
      </w:r>
      <w:r w:rsidR="006B3D94">
        <w:rPr>
          <w:b/>
          <w:bCs/>
          <w:szCs w:val="24"/>
        </w:rPr>
        <w:t xml:space="preserve"> </w:t>
      </w:r>
      <w:r w:rsidR="00F4055D" w:rsidRPr="00204E6E">
        <w:rPr>
          <w:szCs w:val="24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F4055D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2F646C" w:rsidRDefault="00F81597" w:rsidP="002F646C">
      <w:pPr>
        <w:jc w:val="both"/>
        <w:rPr>
          <w:szCs w:val="24"/>
          <w:u w:val="single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</w:p>
    <w:p w:rsidR="00066FD7" w:rsidRPr="00F4055D" w:rsidRDefault="00066FD7" w:rsidP="00986AC7">
      <w:pPr>
        <w:pStyle w:val="ab"/>
        <w:numPr>
          <w:ilvl w:val="0"/>
          <w:numId w:val="5"/>
        </w:numPr>
        <w:jc w:val="both"/>
        <w:rPr>
          <w:szCs w:val="24"/>
        </w:rPr>
      </w:pPr>
      <w:r w:rsidRPr="00F4055D">
        <w:rPr>
          <w:szCs w:val="24"/>
        </w:rPr>
        <w:t xml:space="preserve">профессиональный стандарт «Специалист по управлению персоналом», утвержденный приказом Министерства труда </w:t>
      </w:r>
      <w:r w:rsidR="00F4055D"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от </w:t>
      </w:r>
      <w:r w:rsidR="00F4055D" w:rsidRPr="00F4055D">
        <w:rPr>
          <w:szCs w:val="24"/>
        </w:rPr>
        <w:t xml:space="preserve">10 сентября </w:t>
      </w:r>
      <w:r w:rsidRPr="00F4055D">
        <w:rPr>
          <w:szCs w:val="24"/>
        </w:rPr>
        <w:t>2015 г. № 6</w:t>
      </w:r>
      <w:r w:rsidR="00F4055D" w:rsidRPr="00F4055D">
        <w:rPr>
          <w:szCs w:val="24"/>
        </w:rPr>
        <w:t>25</w:t>
      </w:r>
      <w:r w:rsidRPr="00F4055D">
        <w:rPr>
          <w:szCs w:val="24"/>
        </w:rPr>
        <w:t>н;</w:t>
      </w:r>
    </w:p>
    <w:p w:rsidR="00066FD7" w:rsidRPr="00F4055D" w:rsidRDefault="00F4055D" w:rsidP="00F4055D">
      <w:pPr>
        <w:pStyle w:val="ab"/>
        <w:numPr>
          <w:ilvl w:val="0"/>
          <w:numId w:val="5"/>
        </w:num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4055D">
        <w:rPr>
          <w:szCs w:val="24"/>
        </w:rPr>
        <w:t>профессиональный стандарт</w:t>
      </w:r>
      <w:r w:rsidRPr="00F4055D">
        <w:rPr>
          <w:bCs/>
          <w:szCs w:val="24"/>
        </w:rPr>
        <w:t xml:space="preserve"> «Эксперт в сфере закупок», утвержденный приказом </w:t>
      </w:r>
      <w:r w:rsidRPr="00F4055D">
        <w:rPr>
          <w:szCs w:val="24"/>
        </w:rPr>
        <w:t xml:space="preserve">Министерства труда </w:t>
      </w:r>
      <w:r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</w:t>
      </w:r>
      <w:r w:rsidRPr="00F4055D">
        <w:rPr>
          <w:bCs/>
          <w:szCs w:val="24"/>
        </w:rPr>
        <w:t>от 10.09.2015 г. № 626н.</w:t>
      </w:r>
    </w:p>
    <w:p w:rsidR="006574B9" w:rsidRDefault="006574B9" w:rsidP="002F646C">
      <w:pPr>
        <w:jc w:val="both"/>
        <w:rPr>
          <w:szCs w:val="24"/>
        </w:rPr>
      </w:pPr>
    </w:p>
    <w:p w:rsidR="00F81597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</w:t>
      </w:r>
      <w:proofErr w:type="gramStart"/>
      <w:r w:rsidR="0020280B">
        <w:rPr>
          <w:rFonts w:ascii="Times New Roman" w:hAnsi="Times New Roman"/>
          <w:bCs/>
          <w:szCs w:val="24"/>
        </w:rPr>
        <w:t>рамках</w:t>
      </w:r>
      <w:proofErr w:type="gramEnd"/>
      <w:r w:rsidR="0020280B">
        <w:rPr>
          <w:rFonts w:ascii="Times New Roman" w:hAnsi="Times New Roman"/>
          <w:bCs/>
          <w:szCs w:val="24"/>
        </w:rPr>
        <w:t xml:space="preserve">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принимать организационно-управленческие решения и оценивать их последствия;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осуществлять закупки товаров, работ и услуг,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  закупок, предотвращения коррупции и других злоупотреблений в сфере таких закупок;</w:t>
      </w:r>
      <w:proofErr w:type="gramEnd"/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эффективно использовать средства бюджета и внебюджетных источников финансирования для обеспечения государственных и муниципальных нужд;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осуществлять анализ, организацию и планирование в сфере закупок;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выбирать способ определения поставщика (подрядчика, исполнителя);</w:t>
      </w:r>
    </w:p>
    <w:p w:rsidR="00393C89" w:rsidRPr="00393C89" w:rsidRDefault="0044386C" w:rsidP="0044386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93C89" w:rsidRPr="00393C89">
        <w:rPr>
          <w:color w:val="000000"/>
          <w:szCs w:val="24"/>
        </w:rPr>
        <w:t>систематизировать, обобщать инфор</w:t>
      </w:r>
      <w:r>
        <w:rPr>
          <w:color w:val="000000"/>
          <w:szCs w:val="24"/>
        </w:rPr>
        <w:t xml:space="preserve">мацию и готовить предложения по </w:t>
      </w:r>
      <w:r w:rsidR="00393C89" w:rsidRPr="00393C89">
        <w:rPr>
          <w:color w:val="000000"/>
          <w:szCs w:val="24"/>
        </w:rPr>
        <w:t>совершенствованию системы закупок для государственных и муниципальных нужд;</w:t>
      </w:r>
    </w:p>
    <w:p w:rsidR="00393C89" w:rsidRPr="00393C89" w:rsidRDefault="00393C89" w:rsidP="0044386C">
      <w:pPr>
        <w:shd w:val="clear" w:color="auto" w:fill="FFFFFF"/>
        <w:jc w:val="both"/>
        <w:rPr>
          <w:color w:val="000000"/>
          <w:szCs w:val="24"/>
        </w:rPr>
      </w:pPr>
      <w:r w:rsidRPr="00393C89">
        <w:rPr>
          <w:color w:val="000000"/>
          <w:szCs w:val="24"/>
        </w:rPr>
        <w:t>выполнять функции контрактного управляющего, работников контрактной службы.</w:t>
      </w:r>
    </w:p>
    <w:p w:rsidR="00F4055D" w:rsidRDefault="00F4055D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  <w:bookmarkStart w:id="0" w:name="_GoBack"/>
      <w:bookmarkEnd w:id="0"/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знать: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т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равоприменительн</w:t>
      </w:r>
      <w:r>
        <w:rPr>
          <w:rFonts w:ascii="Times New Roman" w:hAnsi="Times New Roman"/>
          <w:b w:val="0"/>
          <w:snapToGrid/>
          <w:color w:val="000000"/>
          <w:szCs w:val="24"/>
        </w:rPr>
        <w:t>ую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практик</w:t>
      </w:r>
      <w:r>
        <w:rPr>
          <w:rFonts w:ascii="Times New Roman" w:hAnsi="Times New Roman"/>
          <w:b w:val="0"/>
          <w:snapToGrid/>
          <w:color w:val="000000"/>
          <w:szCs w:val="24"/>
        </w:rPr>
        <w:t>у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сновы гражданского, бюджетного, земельного, трудового и административного законодательства в части применения к закупкам</w:t>
      </w:r>
      <w:r>
        <w:rPr>
          <w:rFonts w:ascii="Times New Roman" w:hAnsi="Times New Roman"/>
          <w:b w:val="0"/>
          <w:snapToGrid/>
          <w:color w:val="000000"/>
          <w:szCs w:val="24"/>
        </w:rPr>
        <w:t>,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сновы антимонопольного законодательства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собенности ценообразования на рынке (по направлениям)</w:t>
      </w:r>
      <w:r>
        <w:rPr>
          <w:rFonts w:ascii="Times New Roman" w:hAnsi="Times New Roman"/>
          <w:b w:val="0"/>
          <w:snapToGrid/>
          <w:color w:val="000000"/>
          <w:szCs w:val="24"/>
        </w:rPr>
        <w:t>, м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етоды определения и обоснования начал</w:t>
      </w:r>
      <w:r>
        <w:rPr>
          <w:rFonts w:ascii="Times New Roman" w:hAnsi="Times New Roman"/>
          <w:b w:val="0"/>
          <w:snapToGrid/>
          <w:color w:val="000000"/>
          <w:szCs w:val="24"/>
        </w:rPr>
        <w:t>ьных максимальных цен контракта;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собенности составления закупочной документации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орядок согласования и формирования требований к закупаемым товарам, работам, услугам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м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етодологи</w:t>
      </w:r>
      <w:r>
        <w:rPr>
          <w:rFonts w:ascii="Times New Roman" w:hAnsi="Times New Roman"/>
          <w:b w:val="0"/>
          <w:snapToGrid/>
          <w:color w:val="000000"/>
          <w:szCs w:val="24"/>
        </w:rPr>
        <w:t>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проведения экспертизы соответствия результатов, предусмотренных контрактом, условиям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егламенты работы электронных торговых площадок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орядок подготовки и оформления отчетов, нормативных документов, внесения изменений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ктуальные проблемы в закупочной деятельности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уметь: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и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зготавливать документы, формировать, архивировать, направлять документы и информацию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выбирать способ определения поставщика (подрядчика, исполнителя);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бобщать полученную информацию, цены на товары, работы, услуги, статистически ее </w:t>
      </w:r>
      <w:proofErr w:type="gramStart"/>
      <w:r w:rsidRPr="00CC0306">
        <w:rPr>
          <w:rFonts w:ascii="Times New Roman" w:hAnsi="Times New Roman"/>
          <w:b w:val="0"/>
          <w:snapToGrid/>
          <w:color w:val="000000"/>
          <w:szCs w:val="24"/>
        </w:rPr>
        <w:t>обрабатывать и формулировать</w:t>
      </w:r>
      <w:proofErr w:type="gramEnd"/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аналитические выводы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босновывать начальную (максимальную) цену закупки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писывать объект закупки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азрабатывать закупочную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, работать с закупочной документацией;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р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аботать в единой информационной системе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в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заимодействовать с закупочными комиссиями и технически обеспечивать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деятельность закупочных комиссий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нализировать поступившие заявки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ценивать результаты и подводить итоги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ф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ормировать и согласовывать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протоколы заседаний закупочных комиссий на основании решений, принятых членами комиссии по осуществлению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процедуру подписания контракта с поставщиками (подрядчиками, исполнителями);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организацию оплаты/возврата денежных средств</w:t>
      </w:r>
      <w:r>
        <w:rPr>
          <w:rFonts w:ascii="Times New Roman" w:hAnsi="Times New Roman"/>
          <w:b w:val="0"/>
          <w:snapToGrid/>
          <w:color w:val="000000"/>
          <w:szCs w:val="24"/>
        </w:rPr>
        <w:t>,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рганизовывать уплату денежных сумм по банковской гарантии в предусмотренных случаях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подготавливать план закупок, план-график, вносить в них изменения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Pr="00D538D0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начальную (максимальную) цену контракта;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с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оставлять и оформлять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рименять меры ответственности и совершать иные действия в случае нарушения поставщиком (подрядчиком, исполнителем) условий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выполнять функции, связанные с обеспечением определения поставщика (подрядчика, исполнителя)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роверять необходимую документацию для проведения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мониторинг поставщиков (подрядчиков, исполнителей) и заказчиков в сфере закупок;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существлять анализ и оценку результатов закупок, достижения целей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организовывать и контролировать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разработку проектов контрактов, типовых условий контрактов заказчика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и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о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готовить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83717">
        <w:rPr>
          <w:rFonts w:ascii="Times New Roman" w:hAnsi="Times New Roman"/>
          <w:snapToGrid/>
          <w:color w:val="000000"/>
          <w:szCs w:val="24"/>
        </w:rPr>
        <w:t>владеть: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883717">
        <w:rPr>
          <w:rFonts w:ascii="Times New Roman" w:hAnsi="Times New Roman"/>
          <w:b w:val="0"/>
          <w:snapToGrid/>
          <w:color w:val="000000"/>
          <w:szCs w:val="24"/>
        </w:rPr>
        <w:t>поставщиков</w:t>
      </w:r>
      <w:proofErr w:type="gramEnd"/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 с целью эффективного расходования выделенных лимитов бюджетных обяза</w:t>
      </w:r>
      <w:r>
        <w:rPr>
          <w:rFonts w:ascii="Times New Roman" w:hAnsi="Times New Roman"/>
          <w:b w:val="0"/>
          <w:snapToGrid/>
          <w:color w:val="000000"/>
          <w:szCs w:val="24"/>
        </w:rPr>
        <w:t>тельств;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эффективного управления закупочной деятельностью, позволяющие участвовать в </w:t>
      </w:r>
      <w:proofErr w:type="gramStart"/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размещении</w:t>
      </w:r>
      <w:proofErr w:type="gramEnd"/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44386C" w:rsidRPr="00883717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сновами деятельности контрактной службы, контрактных управляющих, комиссии по осуществлению закупок</w:t>
      </w:r>
    </w:p>
    <w:p w:rsidR="0044386C" w:rsidRPr="00883717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п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равилами составления планов закупок, планов-графиков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методами осуществления закупок и размещен</w:t>
      </w:r>
      <w:r>
        <w:rPr>
          <w:rFonts w:ascii="Times New Roman" w:hAnsi="Times New Roman"/>
          <w:b w:val="0"/>
          <w:snapToGrid/>
          <w:color w:val="000000"/>
          <w:szCs w:val="24"/>
        </w:rPr>
        <w:t>ия заказов;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заключения и исполнения государственных контрактов в сфере закупок товаров, работ и</w:t>
      </w:r>
      <w:r>
        <w:rPr>
          <w:rFonts w:ascii="Times New Roman" w:hAnsi="Times New Roman"/>
          <w:b w:val="0"/>
          <w:snapToGrid/>
          <w:color w:val="000000"/>
          <w:szCs w:val="24"/>
        </w:rPr>
        <w:t xml:space="preserve"> услуг для государственных нужд;</w:t>
      </w:r>
    </w:p>
    <w:p w:rsidR="0044386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</w:t>
      </w:r>
      <w:r>
        <w:rPr>
          <w:rFonts w:ascii="Times New Roman" w:hAnsi="Times New Roman"/>
          <w:b w:val="0"/>
          <w:snapToGrid/>
          <w:color w:val="000000"/>
          <w:szCs w:val="24"/>
        </w:rPr>
        <w:t>ми данных, официальными сайтами;</w:t>
      </w:r>
    </w:p>
    <w:p w:rsidR="0044386C" w:rsidRPr="00741C0C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моделирования управленческих ситуаций в области управления государственными и муниципальными закупками.</w:t>
      </w:r>
    </w:p>
    <w:p w:rsidR="001D0523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</w:t>
      </w:r>
      <w:r w:rsidRPr="004A7E74">
        <w:rPr>
          <w:b/>
          <w:bCs/>
          <w:snapToGrid w:val="0"/>
          <w:szCs w:val="24"/>
        </w:rPr>
        <w:t xml:space="preserve">рудоемкость программы: </w:t>
      </w:r>
      <w:r w:rsidRPr="00204E6E">
        <w:rPr>
          <w:szCs w:val="24"/>
        </w:rPr>
        <w:t>3</w:t>
      </w:r>
      <w:r w:rsidRPr="004A7E74">
        <w:rPr>
          <w:bCs/>
          <w:snapToGrid w:val="0"/>
          <w:szCs w:val="24"/>
        </w:rPr>
        <w:t xml:space="preserve"> </w:t>
      </w:r>
      <w:proofErr w:type="spellStart"/>
      <w:r>
        <w:rPr>
          <w:bCs/>
          <w:snapToGrid w:val="0"/>
          <w:szCs w:val="24"/>
        </w:rPr>
        <w:t>зач</w:t>
      </w:r>
      <w:proofErr w:type="spellEnd"/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>е</w:t>
      </w:r>
      <w:r w:rsidRPr="004A7E74">
        <w:rPr>
          <w:bCs/>
          <w:snapToGrid w:val="0"/>
          <w:szCs w:val="24"/>
        </w:rPr>
        <w:t>д</w:t>
      </w:r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 w:val="20"/>
        </w:rPr>
        <w:t>,</w:t>
      </w:r>
      <w:r w:rsidRPr="00EA09C9">
        <w:rPr>
          <w:bCs/>
          <w:snapToGrid w:val="0"/>
          <w:szCs w:val="24"/>
        </w:rPr>
        <w:t xml:space="preserve"> </w:t>
      </w:r>
      <w:r w:rsidRPr="00204E6E">
        <w:rPr>
          <w:bCs/>
          <w:snapToGrid w:val="0"/>
          <w:szCs w:val="24"/>
        </w:rPr>
        <w:t>114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 (</w:t>
      </w:r>
      <w:r w:rsidRPr="00556B7A">
        <w:rPr>
          <w:bCs/>
          <w:snapToGrid w:val="0"/>
          <w:szCs w:val="24"/>
        </w:rPr>
        <w:t xml:space="preserve">в том числе </w:t>
      </w:r>
      <w:r w:rsidR="0044386C">
        <w:rPr>
          <w:bCs/>
          <w:snapToGrid w:val="0"/>
          <w:szCs w:val="24"/>
        </w:rPr>
        <w:t>114</w:t>
      </w:r>
      <w:r w:rsidRPr="00204E6E">
        <w:rPr>
          <w:bCs/>
          <w:snapToGrid w:val="0"/>
          <w:szCs w:val="24"/>
        </w:rPr>
        <w:t xml:space="preserve"> </w:t>
      </w:r>
      <w:r w:rsidRPr="00556B7A">
        <w:rPr>
          <w:bCs/>
          <w:snapToGrid w:val="0"/>
          <w:szCs w:val="24"/>
        </w:rPr>
        <w:t>ауд</w:t>
      </w:r>
      <w:r>
        <w:rPr>
          <w:bCs/>
          <w:snapToGrid w:val="0"/>
          <w:szCs w:val="24"/>
        </w:rPr>
        <w:t xml:space="preserve">. </w:t>
      </w:r>
      <w:r w:rsidRPr="00556B7A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.).</w:t>
      </w:r>
      <w:r w:rsidRPr="00597393">
        <w:rPr>
          <w:bCs/>
          <w:snapToGrid w:val="0"/>
          <w:szCs w:val="24"/>
        </w:rPr>
        <w:t xml:space="preserve"> 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lastRenderedPageBreak/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 w:rsidRPr="00964275">
        <w:rPr>
          <w:sz w:val="26"/>
          <w:szCs w:val="26"/>
        </w:rPr>
        <w:t>2 недели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1D0523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EA09C9">
        <w:rPr>
          <w:rFonts w:eastAsia="MS Mincho"/>
          <w:b/>
          <w:bCs/>
          <w:szCs w:val="24"/>
        </w:rPr>
        <w:t>Форма обучения:</w:t>
      </w:r>
      <w:r>
        <w:rPr>
          <w:rFonts w:eastAsia="MS Mincho"/>
          <w:b/>
          <w:bCs/>
          <w:szCs w:val="24"/>
        </w:rPr>
        <w:t xml:space="preserve"> </w:t>
      </w:r>
      <w:r w:rsidR="0044386C">
        <w:rPr>
          <w:szCs w:val="24"/>
        </w:rPr>
        <w:t>очн</w:t>
      </w:r>
      <w:r w:rsidRPr="00204E6E">
        <w:rPr>
          <w:szCs w:val="24"/>
        </w:rPr>
        <w:t>ая.</w:t>
      </w:r>
    </w:p>
    <w:p w:rsidR="006574B9" w:rsidRDefault="006574B9" w:rsidP="002F646C">
      <w:pPr>
        <w:tabs>
          <w:tab w:val="num" w:pos="284"/>
        </w:tabs>
        <w:jc w:val="both"/>
      </w:pPr>
    </w:p>
    <w:p w:rsidR="006574B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="001D0523">
        <w:rPr>
          <w:rFonts w:eastAsia="MS Mincho"/>
          <w:bCs/>
          <w:szCs w:val="24"/>
        </w:rPr>
        <w:t xml:space="preserve">от </w:t>
      </w:r>
      <w:r w:rsidR="0044386C">
        <w:rPr>
          <w:rFonts w:eastAsia="MS Mincho"/>
          <w:bCs/>
          <w:szCs w:val="24"/>
        </w:rPr>
        <w:t>5</w:t>
      </w:r>
      <w:r w:rsidRPr="00093DAC">
        <w:rPr>
          <w:rFonts w:eastAsia="MS Mincho"/>
          <w:bCs/>
          <w:szCs w:val="24"/>
        </w:rPr>
        <w:t xml:space="preserve">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71203C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71203C">
        <w:t>об</w:t>
      </w:r>
      <w:r w:rsidR="0071203C" w:rsidRPr="004D11B9"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="0071203C" w:rsidRPr="004D11B9">
        <w:t>.</w:t>
      </w:r>
      <w:proofErr w:type="gramEnd"/>
      <w:r w:rsidR="0071203C">
        <w:t xml:space="preserve"> </w:t>
      </w:r>
      <w:proofErr w:type="gramStart"/>
      <w:r w:rsidR="0071203C" w:rsidRPr="00CC0516">
        <w:t>п</w:t>
      </w:r>
      <w:proofErr w:type="gramEnd"/>
      <w:r w:rsidR="0071203C" w:rsidRPr="00CC0516">
        <w:t xml:space="preserve">рофессорско-преподавательский состав, обеспечивающий реализацию  программы, включает </w:t>
      </w:r>
      <w:r w:rsidR="0044386C">
        <w:t>7</w:t>
      </w:r>
      <w:r w:rsidR="0071203C" w:rsidRPr="00CC0516"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="0071203C" w:rsidRPr="00CC0516">
        <w:t>занимающихся</w:t>
      </w:r>
      <w:proofErr w:type="gramEnd"/>
      <w:r w:rsidR="0071203C" w:rsidRPr="00CC0516">
        <w:t xml:space="preserve"> научной и (или) научно-методической деятельностью: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"/>
        <w:gridCol w:w="2952"/>
        <w:gridCol w:w="15"/>
        <w:gridCol w:w="2083"/>
        <w:gridCol w:w="1845"/>
        <w:gridCol w:w="1947"/>
      </w:tblGrid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Ученая степень/звание</w:t>
            </w:r>
          </w:p>
        </w:tc>
      </w:tr>
      <w:tr w:rsidR="001D0523" w:rsidRPr="008633B9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0B6B27" w:rsidRDefault="001D0523" w:rsidP="00F75477">
            <w:pPr>
              <w:jc w:val="center"/>
            </w:pPr>
            <w: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4F1DAB" w:rsidRDefault="001D0523" w:rsidP="00F75477">
            <w:pPr>
              <w:jc w:val="center"/>
            </w:pPr>
            <w:r w:rsidRPr="000B6B27">
              <w:t>2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5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Общие положения. </w:t>
            </w:r>
            <w:r w:rsidR="0044386C">
              <w:rPr>
                <w:szCs w:val="26"/>
              </w:rPr>
              <w:t xml:space="preserve">Планирование. </w:t>
            </w:r>
            <w:r w:rsidRPr="00B65EB4">
              <w:rPr>
                <w:szCs w:val="26"/>
              </w:rPr>
              <w:t>Нормативно-правовая база.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>
            <w:r>
              <w:t>Ковалева А.Ю.</w:t>
            </w:r>
          </w:p>
          <w:p w:rsidR="0044386C" w:rsidRDefault="0044386C" w:rsidP="00F75477"/>
          <w:p w:rsidR="0044386C" w:rsidRDefault="0044386C" w:rsidP="00F75477"/>
          <w:p w:rsidR="0044386C" w:rsidRDefault="0044386C" w:rsidP="00F75477"/>
          <w:p w:rsidR="0044386C" w:rsidRPr="00FA66F1" w:rsidRDefault="0044386C" w:rsidP="00F75477">
            <w:r>
              <w:t>Истомина Л.Ю.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="001B0A67">
              <w:t xml:space="preserve">, </w:t>
            </w:r>
          </w:p>
          <w:p w:rsidR="001D0523" w:rsidRDefault="001B0A67" w:rsidP="001B0A67">
            <w:r>
              <w:t>Специалист-практик, РЦГ НИУ ВШЭ – Пермь</w:t>
            </w:r>
          </w:p>
          <w:p w:rsidR="0044386C" w:rsidRPr="00FA66F1" w:rsidRDefault="0044386C" w:rsidP="001B0A67">
            <w:r>
              <w:t xml:space="preserve">Начальник отдела УФК </w:t>
            </w:r>
            <w:proofErr w:type="spellStart"/>
            <w:r>
              <w:t>Пермкого</w:t>
            </w:r>
            <w:proofErr w:type="spellEnd"/>
            <w:r>
              <w:t xml:space="preserve"> края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2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Гусейнова Э.Р.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lastRenderedPageBreak/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B0A67" w:rsidP="00F75477">
            <w:r>
              <w:t>Ковалева А.Ю.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lastRenderedPageBreak/>
              <w:t>Специалист-практик, РЦГ НИУ ВШЭ – Пермь Специалист-практик, РЦГ НИУ ВШЭ – Пермь</w:t>
            </w:r>
          </w:p>
          <w:p w:rsidR="001D0523" w:rsidRDefault="001D0523" w:rsidP="00F75477">
            <w:r>
              <w:lastRenderedPageBreak/>
              <w:t>Заведующий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Pr="00FA66F1" w:rsidRDefault="001D0523" w:rsidP="00F7547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lastRenderedPageBreak/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lastRenderedPageBreak/>
              <w:t>3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Государственные и муниципальные контракты.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0" w:type="dxa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4</w:t>
            </w:r>
            <w:r w:rsidR="001D0523">
              <w:t>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083" w:type="dxa"/>
            <w:shd w:val="clear" w:color="auto" w:fill="auto"/>
          </w:tcPr>
          <w:p w:rsidR="001D0523" w:rsidRDefault="001D0523" w:rsidP="00F75477">
            <w:r>
              <w:t xml:space="preserve">Пахомова Л.М. 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/>
          <w:p w:rsidR="001B0A67" w:rsidRPr="00FA66F1" w:rsidRDefault="001B0A67" w:rsidP="00F7547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>
              <w:t>Специал</w:t>
            </w:r>
            <w:r w:rsidR="001B0A67">
              <w:t xml:space="preserve">ист-практик, РЦГ НИУ ВШЭ – Пермь, </w:t>
            </w:r>
            <w:r>
              <w:t>Специалист-практик, РЦГ НИУ ВШЭ – Пермь</w:t>
            </w:r>
            <w:r w:rsidR="001B0A67">
              <w:t>, 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Pr="00FA66F1" w:rsidRDefault="001D0523" w:rsidP="00F75477">
            <w:r>
              <w:t>К.и.н.</w:t>
            </w:r>
          </w:p>
        </w:tc>
      </w:tr>
      <w:tr w:rsidR="001B0A67" w:rsidTr="001B0A67">
        <w:tc>
          <w:tcPr>
            <w:tcW w:w="720" w:type="dxa"/>
            <w:shd w:val="clear" w:color="auto" w:fill="auto"/>
            <w:vAlign w:val="center"/>
          </w:tcPr>
          <w:p w:rsidR="001B0A67" w:rsidRDefault="001B0A67" w:rsidP="001B0A67">
            <w:pPr>
              <w:jc w:val="center"/>
            </w:pPr>
            <w:r>
              <w:t>5.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B0A67" w:rsidRPr="00B65EB4" w:rsidRDefault="001B0A67" w:rsidP="001B0A67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083" w:type="dxa"/>
            <w:shd w:val="clear" w:color="auto" w:fill="auto"/>
          </w:tcPr>
          <w:p w:rsidR="001B0A67" w:rsidRDefault="0044386C" w:rsidP="001B0A67">
            <w:r>
              <w:t>Матвеева О.В.</w:t>
            </w:r>
          </w:p>
          <w:p w:rsidR="001B0A67" w:rsidRDefault="001B0A67" w:rsidP="001B0A67"/>
          <w:p w:rsidR="001B0A67" w:rsidRDefault="001B0A67" w:rsidP="001B0A67"/>
          <w:p w:rsidR="001B0A67" w:rsidRPr="00FA66F1" w:rsidRDefault="001B0A67" w:rsidP="001B0A67"/>
        </w:tc>
        <w:tc>
          <w:tcPr>
            <w:tcW w:w="1845" w:type="dxa"/>
            <w:shd w:val="clear" w:color="auto" w:fill="auto"/>
          </w:tcPr>
          <w:p w:rsidR="001B0A67" w:rsidRPr="00FA66F1" w:rsidRDefault="001B0A67" w:rsidP="0044386C">
            <w:r>
              <w:t>Специалист</w:t>
            </w:r>
            <w:r w:rsidR="0044386C">
              <w:t xml:space="preserve"> по УМР </w:t>
            </w:r>
            <w:r>
              <w:t>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B0A67" w:rsidRDefault="001B0A67" w:rsidP="001B0A67"/>
        </w:tc>
      </w:tr>
    </w:tbl>
    <w:p w:rsidR="001D0523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0523" w:rsidRPr="004D11B9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Обучение проходит в 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помещениях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>, соответствующих всем нормам и требованиям, предъявляемым к таким помещениям.</w:t>
      </w:r>
    </w:p>
    <w:p w:rsidR="001D0523" w:rsidRDefault="001D0523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C076A0" w:rsidRPr="005E0E5B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  <w:r w:rsidR="0071203C">
        <w:rPr>
          <w:b/>
          <w:bCs/>
        </w:rPr>
        <w:t xml:space="preserve"> </w:t>
      </w:r>
      <w:r w:rsidR="0071203C" w:rsidRPr="0071203C">
        <w:rPr>
          <w:bCs/>
        </w:rPr>
        <w:t xml:space="preserve">слушатели обеспечиваются </w:t>
      </w:r>
      <w:r w:rsidR="0071203C">
        <w:rPr>
          <w:bCs/>
        </w:rPr>
        <w:t>учебно-методическим комплексом: закон (на бумажном носителе)</w:t>
      </w:r>
      <w:r w:rsidR="005E0E5B">
        <w:rPr>
          <w:bCs/>
        </w:rPr>
        <w:t>;</w:t>
      </w:r>
      <w:r w:rsidR="0071203C">
        <w:rPr>
          <w:bCs/>
        </w:rPr>
        <w:t xml:space="preserve"> перечень нормативно-правовых актов</w:t>
      </w:r>
      <w:r w:rsidR="005E0E5B">
        <w:rPr>
          <w:bCs/>
        </w:rPr>
        <w:t xml:space="preserve"> Российской Федерации</w:t>
      </w:r>
      <w:r w:rsidR="0071203C">
        <w:rPr>
          <w:bCs/>
        </w:rPr>
        <w:t xml:space="preserve">, </w:t>
      </w:r>
      <w:r w:rsidR="005E0E5B">
        <w:rPr>
          <w:bCs/>
        </w:rPr>
        <w:t xml:space="preserve">перечень нормативно-правовых актов субъект Российской Федерации, </w:t>
      </w:r>
      <w:r w:rsidR="0071203C">
        <w:rPr>
          <w:bCs/>
        </w:rPr>
        <w:t>рабочие тетради</w:t>
      </w:r>
      <w:r w:rsidR="005E0E5B">
        <w:rPr>
          <w:bCs/>
        </w:rPr>
        <w:t>, презентации</w:t>
      </w:r>
      <w:r w:rsidR="0071203C">
        <w:rPr>
          <w:bCs/>
        </w:rPr>
        <w:t xml:space="preserve"> по соответству</w:t>
      </w:r>
      <w:r w:rsidR="005E0E5B">
        <w:rPr>
          <w:bCs/>
        </w:rPr>
        <w:t>ю</w:t>
      </w:r>
      <w:r w:rsidR="0071203C">
        <w:rPr>
          <w:bCs/>
        </w:rPr>
        <w:t xml:space="preserve">щим тематикам, </w:t>
      </w:r>
      <w:r w:rsidR="005E0E5B">
        <w:rPr>
          <w:bCs/>
        </w:rPr>
        <w:t xml:space="preserve">подборка правоприменительной практики, типовые формы документов </w:t>
      </w:r>
      <w:r w:rsidR="005E0E5B" w:rsidRPr="005E0E5B">
        <w:rPr>
          <w:bCs/>
        </w:rPr>
        <w:t>(</w:t>
      </w:r>
      <w:r w:rsidR="005E0E5B" w:rsidRPr="005E0E5B">
        <w:t>на электронных носителях).</w:t>
      </w:r>
    </w:p>
    <w:p w:rsidR="0045060E" w:rsidRPr="00C24AF7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71203C" w:rsidRPr="0071203C" w:rsidRDefault="00C076A0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="0071203C" w:rsidRPr="0071203C">
        <w:rPr>
          <w:bCs/>
        </w:rPr>
        <w:t>м</w:t>
      </w:r>
      <w:r w:rsidR="0071203C">
        <w:t>еста</w:t>
      </w:r>
      <w:r w:rsidR="0071203C" w:rsidRPr="004D11B9">
        <w:t xml:space="preserve"> проведения обучения </w:t>
      </w:r>
      <w:r w:rsidR="0071203C">
        <w:t>оснащены</w:t>
      </w:r>
      <w:r w:rsidR="0071203C" w:rsidRPr="004D11B9">
        <w:t>: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компьютерной техникой с полным пакетом необходимых для обучения программных средств из расчета одно рабочее место на одного обучаемого (в 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случае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проведения практических занятий, требующих использования компьютерной техники);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71203C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44386C" w:rsidRDefault="0044386C" w:rsidP="0071203C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1203C" w:rsidRPr="004D11B9" w:rsidRDefault="0071203C" w:rsidP="0071203C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процессе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CC051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71203C" w:rsidRDefault="0071203C" w:rsidP="0071203C">
      <w:pPr>
        <w:jc w:val="both"/>
        <w:rPr>
          <w:rFonts w:cs="Calibri"/>
          <w:lang w:eastAsia="en-US"/>
        </w:rPr>
      </w:pPr>
    </w:p>
    <w:p w:rsidR="00F81597" w:rsidRDefault="00F81597" w:rsidP="00F81597">
      <w:pPr>
        <w:tabs>
          <w:tab w:val="left" w:pos="5188"/>
        </w:tabs>
        <w:rPr>
          <w:rFonts w:eastAsia="Arial Unicode MS"/>
          <w:bCs/>
          <w:sz w:val="20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  <w:p w:rsidR="005E0E5B" w:rsidRPr="00E70744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proofErr w:type="gramStart"/>
            <w:r>
              <w:rPr>
                <w:szCs w:val="24"/>
              </w:rPr>
              <w:t>программы</w:t>
            </w:r>
            <w:proofErr w:type="gramEnd"/>
            <w:r>
              <w:rPr>
                <w:szCs w:val="24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44386C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B0A67"/>
    <w:rsid w:val="001C07B4"/>
    <w:rsid w:val="001C7CBF"/>
    <w:rsid w:val="001D0523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4386C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F281D"/>
    <w:rsid w:val="00614380"/>
    <w:rsid w:val="006348EC"/>
    <w:rsid w:val="00642031"/>
    <w:rsid w:val="006574B9"/>
    <w:rsid w:val="00674EAE"/>
    <w:rsid w:val="006777C0"/>
    <w:rsid w:val="006B3D94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1203C"/>
    <w:rsid w:val="007303B9"/>
    <w:rsid w:val="007365DD"/>
    <w:rsid w:val="00746CEB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E066D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6953-2AA8-4ABE-8F27-D6341E8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7</cp:revision>
  <cp:lastPrinted>2018-04-18T07:34:00Z</cp:lastPrinted>
  <dcterms:created xsi:type="dcterms:W3CDTF">2020-04-30T07:01:00Z</dcterms:created>
  <dcterms:modified xsi:type="dcterms:W3CDTF">2020-07-23T09:39:00Z</dcterms:modified>
</cp:coreProperties>
</file>