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:rsidR="00492250" w:rsidRPr="00E36F24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 Экономика</w:t>
      </w:r>
      <w:r w:rsidRPr="00492250">
        <w:rPr>
          <w:b/>
          <w:bCs/>
          <w:sz w:val="36"/>
          <w:szCs w:val="36"/>
        </w:rPr>
        <w:t xml:space="preserve"> </w:t>
      </w:r>
    </w:p>
    <w:p w:rsidR="00AC39B7" w:rsidRPr="00216207" w:rsidRDefault="00AC39B7" w:rsidP="00AC39B7">
      <w:pPr>
        <w:jc w:val="center"/>
        <w:rPr>
          <w:b/>
          <w:bCs/>
          <w:color w:val="FF0000"/>
          <w:sz w:val="28"/>
          <w:szCs w:val="28"/>
        </w:rPr>
      </w:pPr>
      <w:r w:rsidRPr="00216207">
        <w:rPr>
          <w:b/>
          <w:bCs/>
          <w:color w:val="FF0000"/>
          <w:sz w:val="28"/>
          <w:szCs w:val="28"/>
        </w:rPr>
        <w:t>Внимание!</w:t>
      </w:r>
    </w:p>
    <w:p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 xml:space="preserve">Тема ВКР </w:t>
      </w:r>
      <w:r w:rsidRPr="00216207">
        <w:rPr>
          <w:b/>
          <w:bCs/>
          <w:color w:val="FF0000"/>
          <w:sz w:val="28"/>
          <w:szCs w:val="28"/>
        </w:rPr>
        <w:t>может быть предложена студентом</w:t>
      </w:r>
      <w:r w:rsidRPr="00AC39B7">
        <w:rPr>
          <w:bCs/>
          <w:sz w:val="28"/>
          <w:szCs w:val="28"/>
        </w:rPr>
        <w:t xml:space="preserve">, </w:t>
      </w:r>
      <w:r w:rsidR="00216207">
        <w:rPr>
          <w:bCs/>
          <w:sz w:val="28"/>
          <w:szCs w:val="28"/>
        </w:rPr>
        <w:t xml:space="preserve">но </w:t>
      </w:r>
      <w:r w:rsidR="00A56031">
        <w:rPr>
          <w:bCs/>
          <w:sz w:val="28"/>
          <w:szCs w:val="28"/>
        </w:rPr>
        <w:t xml:space="preserve">ее нужно согласовать с </w:t>
      </w:r>
      <w:r w:rsidRPr="00AC39B7">
        <w:rPr>
          <w:bCs/>
          <w:sz w:val="28"/>
          <w:szCs w:val="28"/>
        </w:rPr>
        <w:t>научным</w:t>
      </w:r>
      <w:r w:rsidR="00A56031">
        <w:rPr>
          <w:bCs/>
          <w:sz w:val="28"/>
          <w:szCs w:val="28"/>
        </w:rPr>
        <w:t xml:space="preserve"> руководителем</w:t>
      </w:r>
      <w:r w:rsidRPr="00AC39B7">
        <w:rPr>
          <w:bCs/>
          <w:sz w:val="28"/>
          <w:szCs w:val="28"/>
        </w:rPr>
        <w:t xml:space="preserve"> и академическим руководителем</w:t>
      </w:r>
      <w:r w:rsidR="00A56031">
        <w:rPr>
          <w:bCs/>
          <w:sz w:val="28"/>
          <w:szCs w:val="28"/>
        </w:rPr>
        <w:t xml:space="preserve"> ОП</w:t>
      </w:r>
    </w:p>
    <w:p w:rsidR="00AC39B7" w:rsidRDefault="00AC39B7" w:rsidP="00492250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762"/>
      </w:tblGrid>
      <w:tr w:rsidR="00CF5DDF" w:rsidRPr="00492250" w:rsidTr="00B63E15">
        <w:trPr>
          <w:cantSplit/>
          <w:tblHeader/>
        </w:trPr>
        <w:tc>
          <w:tcPr>
            <w:tcW w:w="2410" w:type="dxa"/>
          </w:tcPr>
          <w:p w:rsidR="00CF5DDF" w:rsidRPr="002448D5" w:rsidRDefault="00CF5DDF" w:rsidP="00CF5DD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Научный руководитель</w:t>
            </w:r>
          </w:p>
        </w:tc>
        <w:tc>
          <w:tcPr>
            <w:tcW w:w="7762" w:type="dxa"/>
          </w:tcPr>
          <w:p w:rsidR="00CF5DDF" w:rsidRPr="00CF5DDF" w:rsidRDefault="00CF5DDF" w:rsidP="00CF5DDF">
            <w:pPr>
              <w:pStyle w:val="ac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</w:t>
            </w:r>
            <w:r w:rsidR="00E83C87">
              <w:rPr>
                <w:b/>
                <w:bCs/>
                <w:iCs/>
                <w:sz w:val="26"/>
                <w:szCs w:val="26"/>
              </w:rPr>
              <w:t>ные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:rsidR="00CF5DDF" w:rsidRPr="00751977" w:rsidRDefault="00CF5DDF" w:rsidP="00CF5DDF">
            <w:pPr>
              <w:pStyle w:val="ac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научным руководителем и академическим руководителем программы)  </w:t>
            </w:r>
          </w:p>
        </w:tc>
      </w:tr>
      <w:tr w:rsidR="00CF5DDF" w:rsidRPr="00763B0F" w:rsidTr="0028505C">
        <w:trPr>
          <w:cantSplit/>
          <w:trHeight w:val="3180"/>
        </w:trPr>
        <w:tc>
          <w:tcPr>
            <w:tcW w:w="2410" w:type="dxa"/>
            <w:hideMark/>
          </w:tcPr>
          <w:p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:rsidR="00CF5DDF" w:rsidRPr="00884512" w:rsidRDefault="003F2B6C" w:rsidP="008845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9" w:history="1">
              <w:r w:rsidR="006C15B7" w:rsidRPr="0088451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belyh_sa@list.ru</w:t>
              </w:r>
            </w:hyperlink>
          </w:p>
        </w:tc>
        <w:tc>
          <w:tcPr>
            <w:tcW w:w="7762" w:type="dxa"/>
            <w:hideMark/>
          </w:tcPr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затратами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Повышение финансовых результатов деятельности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Восстановление платежеспособности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E36F24" w:rsidRPr="00E36F24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Управление оборотными активами предприятия (организации)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</w:p>
          <w:p w:rsidR="00E36F24" w:rsidRPr="00E36F24" w:rsidRDefault="00E36F24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E36F24">
              <w:rPr>
                <w:bCs/>
                <w:iCs/>
                <w:sz w:val="26"/>
                <w:szCs w:val="26"/>
              </w:rPr>
              <w:t>Управление запасами компании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  <w:p w:rsidR="00AC39B7" w:rsidRPr="00834712" w:rsidRDefault="00235C75" w:rsidP="00E36F24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rFonts w:ascii="Times" w:hAnsi="Times"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36F24" w:rsidRPr="00E36F24">
              <w:rPr>
                <w:bCs/>
                <w:iCs/>
                <w:sz w:val="26"/>
                <w:szCs w:val="26"/>
              </w:rPr>
              <w:t>Постановка/совершенствование систем</w:t>
            </w:r>
            <w:r w:rsidR="0028505C">
              <w:rPr>
                <w:bCs/>
                <w:iCs/>
                <w:sz w:val="26"/>
                <w:szCs w:val="26"/>
              </w:rPr>
              <w:t>ы бюджетирования на предприятии</w:t>
            </w:r>
            <w:r w:rsidR="00E36F24"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 w:rsidR="0028505C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28505C" w:rsidRPr="00763B0F" w:rsidTr="0028505C">
        <w:trPr>
          <w:cantSplit/>
          <w:trHeight w:val="426"/>
        </w:trPr>
        <w:tc>
          <w:tcPr>
            <w:tcW w:w="2410" w:type="dxa"/>
          </w:tcPr>
          <w:p w:rsidR="0028505C" w:rsidRDefault="0028505C" w:rsidP="00E63212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E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Букина </w:t>
            </w: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атьяна Витальевна</w:t>
            </w:r>
          </w:p>
          <w:p w:rsidR="0028505C" w:rsidRPr="00763B0F" w:rsidRDefault="003F2B6C" w:rsidP="0028505C">
            <w:pPr>
              <w:pStyle w:val="a5"/>
              <w:shd w:val="clear" w:color="auto" w:fill="FFFFFF"/>
              <w:spacing w:before="0" w:after="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hyperlink r:id="rId10" w:history="1">
              <w:r w:rsidR="0028505C"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bukinatv@mail.ru</w:t>
              </w:r>
            </w:hyperlink>
          </w:p>
        </w:tc>
        <w:tc>
          <w:tcPr>
            <w:tcW w:w="7762" w:type="dxa"/>
          </w:tcPr>
          <w:p w:rsidR="0028505C" w:rsidRPr="00E23EFE" w:rsidRDefault="0028505C" w:rsidP="00E63212">
            <w:pPr>
              <w:pStyle w:val="ac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Ф</w:t>
            </w:r>
            <w:r w:rsidRPr="00E23EFE">
              <w:rPr>
                <w:bCs/>
                <w:iCs/>
                <w:sz w:val="26"/>
                <w:szCs w:val="26"/>
              </w:rPr>
              <w:t>ормировани</w:t>
            </w:r>
            <w:r>
              <w:rPr>
                <w:bCs/>
                <w:iCs/>
                <w:sz w:val="26"/>
                <w:szCs w:val="26"/>
              </w:rPr>
              <w:t>е</w:t>
            </w:r>
            <w:r w:rsidRPr="00E23EFE">
              <w:rPr>
                <w:bCs/>
                <w:iCs/>
                <w:sz w:val="26"/>
                <w:szCs w:val="26"/>
              </w:rPr>
              <w:t xml:space="preserve"> налогового потенциала в регионе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28505C" w:rsidRPr="00150097" w:rsidRDefault="0028505C" w:rsidP="00E63212">
            <w:pPr>
              <w:pStyle w:val="ac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Региональные особенности реализации инвестиционных проектов.</w:t>
            </w:r>
          </w:p>
          <w:p w:rsidR="0028505C" w:rsidRPr="00B905FC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3.</w:t>
            </w:r>
            <w:r w:rsidR="00B905FC">
              <w:rPr>
                <w:bCs/>
                <w:iCs/>
                <w:sz w:val="26"/>
                <w:szCs w:val="26"/>
              </w:rPr>
              <w:t xml:space="preserve">Развитие </w:t>
            </w:r>
            <w:proofErr w:type="spellStart"/>
            <w:r w:rsidR="00B905FC">
              <w:rPr>
                <w:bCs/>
                <w:iCs/>
                <w:sz w:val="26"/>
                <w:szCs w:val="26"/>
              </w:rPr>
              <w:t>импортозамещения</w:t>
            </w:r>
            <w:proofErr w:type="spellEnd"/>
            <w:r w:rsidR="00B905FC">
              <w:rPr>
                <w:bCs/>
                <w:iCs/>
                <w:sz w:val="26"/>
                <w:szCs w:val="26"/>
              </w:rPr>
              <w:t xml:space="preserve"> в регионе как фактор стимулирования роста отечественного производства.</w:t>
            </w:r>
          </w:p>
        </w:tc>
      </w:tr>
      <w:tr w:rsidR="0028505C" w:rsidRPr="00492250" w:rsidTr="00B63E15">
        <w:trPr>
          <w:cantSplit/>
          <w:trHeight w:val="1365"/>
        </w:trPr>
        <w:tc>
          <w:tcPr>
            <w:tcW w:w="2410" w:type="dxa"/>
          </w:tcPr>
          <w:p w:rsidR="0028505C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:rsidR="0028505C" w:rsidRPr="00A95C25" w:rsidRDefault="003F2B6C" w:rsidP="0088451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1" w:history="1">
              <w:r w:rsidR="0028505C" w:rsidRPr="00E05DE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zhukovanu08@mail.ru</w:t>
              </w:r>
            </w:hyperlink>
          </w:p>
        </w:tc>
        <w:tc>
          <w:tcPr>
            <w:tcW w:w="7762" w:type="dxa"/>
          </w:tcPr>
          <w:p w:rsidR="0028505C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эффективности инвестиционного проекта.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:rsidR="0028505C" w:rsidRPr="00CE4ECF" w:rsidRDefault="0028505C" w:rsidP="00CE4ECF">
            <w:pPr>
              <w:pStyle w:val="ac"/>
              <w:numPr>
                <w:ilvl w:val="0"/>
                <w:numId w:val="3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CE4ECF">
              <w:rPr>
                <w:bCs/>
                <w:iCs/>
                <w:sz w:val="26"/>
                <w:szCs w:val="26"/>
              </w:rPr>
              <w:t xml:space="preserve"> Оценка стоимости бренда</w:t>
            </w:r>
            <w:r>
              <w:rPr>
                <w:bCs/>
                <w:iCs/>
                <w:sz w:val="26"/>
                <w:szCs w:val="26"/>
              </w:rPr>
              <w:t xml:space="preserve"> компании. </w:t>
            </w:r>
          </w:p>
          <w:p w:rsidR="0028505C" w:rsidRP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 w:rsidRPr="0028505C">
              <w:rPr>
                <w:bCs/>
                <w:iCs/>
                <w:sz w:val="26"/>
                <w:szCs w:val="26"/>
              </w:rPr>
              <w:t>Финансовое планирование на предприятии  (разработка системы планирования или совершенствование)</w:t>
            </w:r>
            <w:r w:rsidRPr="00314722">
              <w:rPr>
                <w:bCs/>
                <w:iCs/>
                <w:color w:val="FF0000"/>
                <w:sz w:val="26"/>
                <w:szCs w:val="26"/>
              </w:rPr>
              <w:t>*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:rsid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оборотными активами компании.</w:t>
            </w:r>
          </w:p>
          <w:p w:rsidR="0028505C" w:rsidRPr="0028505C" w:rsidRDefault="0028505C" w:rsidP="0028505C">
            <w:pPr>
              <w:pStyle w:val="a4"/>
              <w:numPr>
                <w:ilvl w:val="0"/>
                <w:numId w:val="32"/>
              </w:num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Управление дебиторской задолженностью.</w:t>
            </w:r>
          </w:p>
        </w:tc>
      </w:tr>
      <w:tr w:rsidR="0028505C" w:rsidRPr="00492250" w:rsidTr="00B63E15">
        <w:trPr>
          <w:cantSplit/>
        </w:trPr>
        <w:tc>
          <w:tcPr>
            <w:tcW w:w="2410" w:type="dxa"/>
          </w:tcPr>
          <w:p w:rsidR="0028505C" w:rsidRPr="00A95C25" w:rsidRDefault="0028505C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2" w:history="1">
              <w:r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28505C" w:rsidRPr="00834712" w:rsidRDefault="0028505C" w:rsidP="00E83C87">
            <w:pPr>
              <w:pStyle w:val="ac"/>
              <w:numPr>
                <w:ilvl w:val="0"/>
                <w:numId w:val="4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34712">
              <w:rPr>
                <w:bCs/>
                <w:iCs/>
                <w:sz w:val="26"/>
                <w:szCs w:val="26"/>
              </w:rPr>
              <w:t>Финансирование</w:t>
            </w:r>
            <w:r w:rsidRPr="00834712">
              <w:rPr>
                <w:sz w:val="26"/>
                <w:szCs w:val="26"/>
              </w:rPr>
              <w:t xml:space="preserve"> в учреждениях (организациях) бюджетной сферы</w:t>
            </w:r>
            <w:r w:rsidRPr="00314722">
              <w:rPr>
                <w:color w:val="FF0000"/>
                <w:sz w:val="26"/>
                <w:szCs w:val="26"/>
              </w:rPr>
              <w:t>**</w:t>
            </w:r>
          </w:p>
        </w:tc>
      </w:tr>
      <w:tr w:rsidR="0028505C" w:rsidRPr="00492250" w:rsidTr="00B63E15">
        <w:trPr>
          <w:cantSplit/>
        </w:trPr>
        <w:tc>
          <w:tcPr>
            <w:tcW w:w="2410" w:type="dxa"/>
          </w:tcPr>
          <w:p w:rsidR="007B35FA" w:rsidRPr="007B35FA" w:rsidRDefault="007B35FA" w:rsidP="007B35FA">
            <w:pPr>
              <w:rPr>
                <w:b/>
              </w:rPr>
            </w:pPr>
            <w:r w:rsidRPr="007B35FA">
              <w:rPr>
                <w:b/>
              </w:rPr>
              <w:t>Плюснина Любовь Михайловна</w:t>
            </w:r>
          </w:p>
          <w:p w:rsidR="0028505C" w:rsidRPr="00FF1808" w:rsidRDefault="007B35FA" w:rsidP="007B35FA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F1808">
              <w:rPr>
                <w:rFonts w:ascii="Times New Roman" w:hAnsi="Times New Roman" w:cs="Times New Roman"/>
                <w:color w:val="0070C0"/>
              </w:rPr>
              <w:t>(</w:t>
            </w:r>
            <w:r w:rsidRPr="00FF1808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plusninalm@gmail.com</w:t>
            </w:r>
            <w:r w:rsidRPr="00FF1808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7762" w:type="dxa"/>
          </w:tcPr>
          <w:p w:rsidR="007B35FA" w:rsidRP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1.</w:t>
            </w:r>
            <w:r w:rsidRPr="007B35F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эффективности инвестиционного проекта.</w:t>
            </w:r>
          </w:p>
          <w:p w:rsidR="007B35FA" w:rsidRP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2.</w:t>
            </w:r>
            <w:r w:rsidRPr="007B35F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стоимости компании.</w:t>
            </w:r>
          </w:p>
          <w:p w:rsidR="007B35FA" w:rsidRP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3.</w:t>
            </w:r>
            <w:r w:rsidRPr="007B35F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Оценка объекта недвижимости.</w:t>
            </w:r>
          </w:p>
          <w:p w:rsid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4.</w:t>
            </w:r>
            <w:r w:rsidRPr="007B35FA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Управление рисками деятельности предприятия.</w:t>
            </w:r>
          </w:p>
          <w:p w:rsid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5.Управление себестоимостью продукции</w:t>
            </w:r>
          </w:p>
          <w:p w:rsidR="007B35FA" w:rsidRDefault="007B35FA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6.Управление стоимостью компании</w:t>
            </w:r>
          </w:p>
          <w:p w:rsidR="005F48EF" w:rsidRPr="005F48EF" w:rsidRDefault="005F48EF" w:rsidP="007B35FA">
            <w:pPr>
              <w:pStyle w:val="ac"/>
              <w:tabs>
                <w:tab w:val="left" w:pos="237"/>
              </w:tabs>
              <w:ind w:left="0"/>
              <w:jc w:val="left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5F48EF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7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. Повышение финансовых результатов деятельности предприятия с помощью инструментов бережливого производства.</w:t>
            </w:r>
          </w:p>
          <w:p w:rsidR="0028505C" w:rsidRPr="0088080C" w:rsidRDefault="0028505C" w:rsidP="007B35FA">
            <w:pPr>
              <w:pStyle w:val="ac"/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</w:p>
        </w:tc>
      </w:tr>
    </w:tbl>
    <w:p w:rsidR="008179B8" w:rsidRPr="008179B8" w:rsidRDefault="0097332A" w:rsidP="008179B8">
      <w:pPr>
        <w:pStyle w:val="ac"/>
        <w:ind w:left="-709"/>
        <w:jc w:val="left"/>
        <w:rPr>
          <w:bCs/>
          <w:iCs/>
          <w:sz w:val="26"/>
          <w:szCs w:val="26"/>
        </w:rPr>
      </w:pPr>
      <w:r w:rsidRPr="00314722">
        <w:rPr>
          <w:bCs/>
          <w:iCs/>
          <w:color w:val="FF0000"/>
          <w:sz w:val="26"/>
          <w:szCs w:val="26"/>
        </w:rPr>
        <w:lastRenderedPageBreak/>
        <w:t>*</w:t>
      </w:r>
      <w:r w:rsidRPr="00280C83">
        <w:rPr>
          <w:bCs/>
          <w:iCs/>
          <w:sz w:val="26"/>
          <w:szCs w:val="26"/>
        </w:rPr>
        <w:t xml:space="preserve"> тем</w:t>
      </w:r>
      <w:r w:rsidR="00781235">
        <w:rPr>
          <w:bCs/>
          <w:iCs/>
          <w:sz w:val="26"/>
          <w:szCs w:val="26"/>
        </w:rPr>
        <w:t xml:space="preserve">а </w:t>
      </w:r>
      <w:proofErr w:type="gramStart"/>
      <w:r w:rsidR="00781235">
        <w:rPr>
          <w:bCs/>
          <w:iCs/>
          <w:sz w:val="26"/>
          <w:szCs w:val="26"/>
        </w:rPr>
        <w:t xml:space="preserve">пишется на основе внутренней </w:t>
      </w:r>
      <w:r w:rsidRPr="00280C83">
        <w:rPr>
          <w:bCs/>
          <w:iCs/>
          <w:sz w:val="26"/>
          <w:szCs w:val="26"/>
        </w:rPr>
        <w:t>документации 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B15450" w:rsidRPr="00314722">
        <w:rPr>
          <w:bCs/>
          <w:iCs/>
          <w:color w:val="FF0000"/>
          <w:sz w:val="26"/>
          <w:szCs w:val="26"/>
        </w:rPr>
        <w:t>**</w:t>
      </w:r>
      <w:r w:rsidR="00B15450" w:rsidRPr="00E72C2F">
        <w:rPr>
          <w:bCs/>
          <w:iCs/>
          <w:sz w:val="26"/>
          <w:szCs w:val="26"/>
        </w:rPr>
        <w:t xml:space="preserve"> </w:t>
      </w:r>
      <w:r w:rsidR="008179B8" w:rsidRPr="008179B8">
        <w:rPr>
          <w:bCs/>
          <w:iCs/>
          <w:sz w:val="26"/>
          <w:szCs w:val="26"/>
        </w:rPr>
        <w:t>Содержание темы уточняйте</w:t>
      </w:r>
      <w:proofErr w:type="gramEnd"/>
      <w:r w:rsidR="008179B8" w:rsidRPr="008179B8">
        <w:rPr>
          <w:bCs/>
          <w:iCs/>
          <w:sz w:val="26"/>
          <w:szCs w:val="26"/>
        </w:rPr>
        <w:t xml:space="preserve"> у научного руководителя</w:t>
      </w:r>
    </w:p>
    <w:p w:rsidR="0097332A" w:rsidRDefault="0097332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:rsidR="009F0570" w:rsidRDefault="009F0570" w:rsidP="008179B8">
      <w:pPr>
        <w:pStyle w:val="ac"/>
        <w:ind w:left="-709"/>
        <w:rPr>
          <w:b/>
          <w:bCs/>
          <w:iCs/>
          <w:szCs w:val="26"/>
          <w:u w:val="single"/>
        </w:rPr>
      </w:pPr>
    </w:p>
    <w:p w:rsidR="00970855" w:rsidRPr="008179B8" w:rsidRDefault="00970855" w:rsidP="008179B8">
      <w:pPr>
        <w:pStyle w:val="ac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A56031">
        <w:rPr>
          <w:b/>
          <w:bCs/>
          <w:iCs/>
          <w:szCs w:val="26"/>
          <w:u w:val="single"/>
        </w:rPr>
        <w:t xml:space="preserve"> некоторых тем ВКР</w:t>
      </w:r>
    </w:p>
    <w:p w:rsidR="00970855" w:rsidRDefault="00970855" w:rsidP="00970855">
      <w:pPr>
        <w:jc w:val="center"/>
        <w:rPr>
          <w:b/>
        </w:rPr>
      </w:pPr>
    </w:p>
    <w:p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 xml:space="preserve">г). Далее проводится анализ макро-, мезо-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и.т.д.)</w:t>
      </w:r>
    </w:p>
    <w:p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составлял 10% в год и он же используется при прогнозировании выручки). Каждый прогнозируемый элемент должен быть обоснован.</w:t>
      </w:r>
    </w:p>
    <w:p w:rsidR="00970855" w:rsidRDefault="00970855" w:rsidP="00970855">
      <w:pPr>
        <w:jc w:val="both"/>
      </w:pPr>
      <w:r>
        <w:t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стоимости акций данных предприятий) можно брать западные аналоги или готовые мультипликаторы.</w:t>
      </w:r>
    </w:p>
    <w:p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:rsidR="00970855" w:rsidRDefault="00970855" w:rsidP="00970855">
      <w:pPr>
        <w:jc w:val="both"/>
      </w:pPr>
      <w:r>
        <w:t xml:space="preserve"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</w:t>
      </w:r>
      <w:r>
        <w:lastRenderedPageBreak/>
        <w:t>требуется привести интерпретацию всех полученных результатов ( мини-эссе на 1,5-2 стр.).</w:t>
      </w:r>
    </w:p>
    <w:p w:rsidR="00970855" w:rsidRDefault="00970855" w:rsidP="00970855">
      <w:pPr>
        <w:rPr>
          <w:rFonts w:cstheme="minorHAnsi"/>
          <w:bCs/>
        </w:rPr>
      </w:pPr>
    </w:p>
    <w:p w:rsidR="00382F7A" w:rsidRPr="00382F7A" w:rsidRDefault="00382F7A" w:rsidP="00382F7A">
      <w:pPr>
        <w:pStyle w:val="ac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 рисков инвестиционного проекта</w:t>
      </w:r>
    </w:p>
    <w:p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объем инвестиций. Далее описывается суть инвестиционного проекта и его бизнес модель,, проводится анализ макро-,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средств проекта на весь горизонт планирования с месячным или квартальным шагом расчета.</w:t>
      </w:r>
    </w:p>
    <w:p w:rsidR="00382F7A" w:rsidRDefault="00382F7A" w:rsidP="00382F7A">
      <w:pPr>
        <w:jc w:val="both"/>
      </w:pPr>
      <w:r>
        <w:t>Объем второй главы – 20-30 стр.</w:t>
      </w:r>
    </w:p>
    <w:p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проекта,. 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:rsidR="00382F7A" w:rsidRPr="00DA52D5" w:rsidRDefault="00382F7A" w:rsidP="00DA52D5">
      <w:pPr>
        <w:pStyle w:val="ac"/>
        <w:ind w:left="-709"/>
        <w:jc w:val="left"/>
        <w:rPr>
          <w:b/>
        </w:rPr>
      </w:pPr>
    </w:p>
    <w:p w:rsidR="00382F7A" w:rsidRPr="00385DB4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:rsidR="00DA52D5" w:rsidRDefault="00DA52D5" w:rsidP="00DA52D5">
      <w:pPr>
        <w:jc w:val="both"/>
        <w:rPr>
          <w:spacing w:val="4"/>
        </w:rPr>
      </w:pPr>
      <w:r>
        <w:rPr>
          <w:spacing w:val="4"/>
        </w:rPr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:rsidR="00DA52D5" w:rsidRPr="00543501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lastRenderedPageBreak/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:rsidR="00DA52D5" w:rsidRPr="00DA52D5" w:rsidRDefault="00DA52D5" w:rsidP="00DA52D5">
      <w:pPr>
        <w:jc w:val="both"/>
        <w:rPr>
          <w:b/>
        </w:rPr>
      </w:pPr>
    </w:p>
    <w:p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r w:rsidR="00DA52D5">
        <w:rPr>
          <w:bCs/>
          <w:spacing w:val="4"/>
        </w:rPr>
        <w:t>риск-менеджмента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</w:p>
    <w:p w:rsidR="0074030A" w:rsidRDefault="0074030A" w:rsidP="0074030A">
      <w:pPr>
        <w:jc w:val="both"/>
        <w:rPr>
          <w:b/>
          <w:bCs/>
          <w:spacing w:val="4"/>
        </w:rPr>
      </w:pPr>
    </w:p>
    <w:p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>ществующую систему оценки и управления рисками ( 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:rsidR="0074030A" w:rsidRDefault="0074030A" w:rsidP="0074030A">
      <w:pPr>
        <w:jc w:val="both"/>
        <w:rPr>
          <w:bCs/>
          <w:spacing w:val="4"/>
        </w:rPr>
      </w:pPr>
    </w:p>
    <w:p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:rsidR="00DA52D5" w:rsidRDefault="00DA52D5" w:rsidP="00970855">
      <w:pPr>
        <w:rPr>
          <w:rFonts w:cstheme="minorHAnsi"/>
          <w:bCs/>
        </w:rPr>
      </w:pPr>
    </w:p>
    <w:p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Анализ факторов формирования налогового потенциала в регионе</w:t>
      </w:r>
    </w:p>
    <w:p w:rsidR="00970855" w:rsidRPr="004D4F6D" w:rsidRDefault="00970855" w:rsidP="004D4F6D">
      <w:pPr>
        <w:ind w:firstLine="709"/>
        <w:jc w:val="both"/>
        <w:rPr>
          <w:rFonts w:eastAsia="Calibri" w:cstheme="minorHAnsi"/>
        </w:rPr>
      </w:pPr>
      <w:r w:rsidRPr="004D4F6D">
        <w:rPr>
          <w:rFonts w:eastAsia="Calibri" w:cstheme="minorHAnsi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sectPr w:rsidR="00970855" w:rsidSect="0098190C">
      <w:footerReference w:type="default" r:id="rId13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6C" w:rsidRDefault="003F2B6C" w:rsidP="00270C99">
      <w:r>
        <w:separator/>
      </w:r>
    </w:p>
  </w:endnote>
  <w:endnote w:type="continuationSeparator" w:id="0">
    <w:p w:rsidR="003F2B6C" w:rsidRDefault="003F2B6C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0" w:rsidRDefault="00561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6C" w:rsidRDefault="003F2B6C" w:rsidP="00270C99">
      <w:r>
        <w:separator/>
      </w:r>
    </w:p>
  </w:footnote>
  <w:footnote w:type="continuationSeparator" w:id="0">
    <w:p w:rsidR="003F2B6C" w:rsidRDefault="003F2B6C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51"/>
    <w:multiLevelType w:val="hybridMultilevel"/>
    <w:tmpl w:val="D81673A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AB6"/>
    <w:multiLevelType w:val="hybridMultilevel"/>
    <w:tmpl w:val="7C44B684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232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EC72E09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6BB"/>
    <w:multiLevelType w:val="hybridMultilevel"/>
    <w:tmpl w:val="8D4E6534"/>
    <w:lvl w:ilvl="0" w:tplc="AA3412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2FE4532"/>
    <w:multiLevelType w:val="hybridMultilevel"/>
    <w:tmpl w:val="C1A0A734"/>
    <w:lvl w:ilvl="0" w:tplc="14D0CC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4E251CE"/>
    <w:multiLevelType w:val="hybridMultilevel"/>
    <w:tmpl w:val="231EADA4"/>
    <w:lvl w:ilvl="0" w:tplc="A4DCF622">
      <w:start w:val="1"/>
      <w:numFmt w:val="decimal"/>
      <w:lvlText w:val="%1."/>
      <w:lvlJc w:val="left"/>
      <w:pPr>
        <w:ind w:left="100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64B69DF"/>
    <w:multiLevelType w:val="hybridMultilevel"/>
    <w:tmpl w:val="E0024672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1CC6"/>
    <w:multiLevelType w:val="hybridMultilevel"/>
    <w:tmpl w:val="176249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1BEE22F6"/>
    <w:multiLevelType w:val="hybridMultilevel"/>
    <w:tmpl w:val="B2C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B15A0C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12E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247C3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A1D3B"/>
    <w:multiLevelType w:val="hybridMultilevel"/>
    <w:tmpl w:val="0ACA6886"/>
    <w:lvl w:ilvl="0" w:tplc="96442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D452D"/>
    <w:multiLevelType w:val="hybridMultilevel"/>
    <w:tmpl w:val="DC1CB876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14834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A746B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84F7B"/>
    <w:multiLevelType w:val="hybridMultilevel"/>
    <w:tmpl w:val="DD8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85581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6674398E"/>
    <w:multiLevelType w:val="hybridMultilevel"/>
    <w:tmpl w:val="F88836BA"/>
    <w:lvl w:ilvl="0" w:tplc="A4DCF622">
      <w:start w:val="1"/>
      <w:numFmt w:val="decimal"/>
      <w:lvlText w:val="%1."/>
      <w:lvlJc w:val="left"/>
      <w:pPr>
        <w:ind w:left="97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A342D51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813AA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6635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6"/>
  </w:num>
  <w:num w:numId="4">
    <w:abstractNumId w:val="18"/>
  </w:num>
  <w:num w:numId="5">
    <w:abstractNumId w:val="11"/>
  </w:num>
  <w:num w:numId="6">
    <w:abstractNumId w:val="15"/>
  </w:num>
  <w:num w:numId="7">
    <w:abstractNumId w:val="21"/>
  </w:num>
  <w:num w:numId="8">
    <w:abstractNumId w:val="13"/>
  </w:num>
  <w:num w:numId="9">
    <w:abstractNumId w:val="19"/>
  </w:num>
  <w:num w:numId="10">
    <w:abstractNumId w:val="24"/>
  </w:num>
  <w:num w:numId="11">
    <w:abstractNumId w:val="9"/>
  </w:num>
  <w:num w:numId="12">
    <w:abstractNumId w:val="27"/>
  </w:num>
  <w:num w:numId="13">
    <w:abstractNumId w:val="7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30"/>
  </w:num>
  <w:num w:numId="19">
    <w:abstractNumId w:val="23"/>
  </w:num>
  <w:num w:numId="20">
    <w:abstractNumId w:val="16"/>
  </w:num>
  <w:num w:numId="21">
    <w:abstractNumId w:val="22"/>
  </w:num>
  <w:num w:numId="22">
    <w:abstractNumId w:val="2"/>
  </w:num>
  <w:num w:numId="23">
    <w:abstractNumId w:val="31"/>
  </w:num>
  <w:num w:numId="24">
    <w:abstractNumId w:val="20"/>
  </w:num>
  <w:num w:numId="25">
    <w:abstractNumId w:val="1"/>
  </w:num>
  <w:num w:numId="26">
    <w:abstractNumId w:val="12"/>
  </w:num>
  <w:num w:numId="27">
    <w:abstractNumId w:val="4"/>
  </w:num>
  <w:num w:numId="28">
    <w:abstractNumId w:val="14"/>
  </w:num>
  <w:num w:numId="29">
    <w:abstractNumId w:val="0"/>
  </w:num>
  <w:num w:numId="30">
    <w:abstractNumId w:val="10"/>
  </w:num>
  <w:num w:numId="31">
    <w:abstractNumId w:val="6"/>
  </w:num>
  <w:num w:numId="32">
    <w:abstractNumId w:val="1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43A46"/>
    <w:rsid w:val="00050F35"/>
    <w:rsid w:val="000536BF"/>
    <w:rsid w:val="00063C64"/>
    <w:rsid w:val="00071C2F"/>
    <w:rsid w:val="000A08A5"/>
    <w:rsid w:val="000A48B3"/>
    <w:rsid w:val="000B7442"/>
    <w:rsid w:val="000C5775"/>
    <w:rsid w:val="000D01D3"/>
    <w:rsid w:val="000D23DF"/>
    <w:rsid w:val="000F1C52"/>
    <w:rsid w:val="001026E3"/>
    <w:rsid w:val="001061CF"/>
    <w:rsid w:val="00106B89"/>
    <w:rsid w:val="0012502E"/>
    <w:rsid w:val="00132642"/>
    <w:rsid w:val="00160EEF"/>
    <w:rsid w:val="00191440"/>
    <w:rsid w:val="00196A02"/>
    <w:rsid w:val="001A3B0A"/>
    <w:rsid w:val="001A7605"/>
    <w:rsid w:val="001C30AA"/>
    <w:rsid w:val="001F63D3"/>
    <w:rsid w:val="001F70DF"/>
    <w:rsid w:val="00216207"/>
    <w:rsid w:val="00235C75"/>
    <w:rsid w:val="002448D5"/>
    <w:rsid w:val="00256EE7"/>
    <w:rsid w:val="0026310F"/>
    <w:rsid w:val="002634DE"/>
    <w:rsid w:val="00270C99"/>
    <w:rsid w:val="00283115"/>
    <w:rsid w:val="0028505C"/>
    <w:rsid w:val="002A2533"/>
    <w:rsid w:val="002A391A"/>
    <w:rsid w:val="002D0185"/>
    <w:rsid w:val="002D6776"/>
    <w:rsid w:val="002E303E"/>
    <w:rsid w:val="002E6A7A"/>
    <w:rsid w:val="0030446C"/>
    <w:rsid w:val="003125B6"/>
    <w:rsid w:val="00314722"/>
    <w:rsid w:val="00327756"/>
    <w:rsid w:val="00337C17"/>
    <w:rsid w:val="0036185D"/>
    <w:rsid w:val="003735A5"/>
    <w:rsid w:val="00376A96"/>
    <w:rsid w:val="00382F7A"/>
    <w:rsid w:val="00385DB4"/>
    <w:rsid w:val="003A60A2"/>
    <w:rsid w:val="003F2B6C"/>
    <w:rsid w:val="0040245A"/>
    <w:rsid w:val="00422170"/>
    <w:rsid w:val="00425EB2"/>
    <w:rsid w:val="00431136"/>
    <w:rsid w:val="00437DBD"/>
    <w:rsid w:val="004452D3"/>
    <w:rsid w:val="0047604D"/>
    <w:rsid w:val="00492250"/>
    <w:rsid w:val="004A16B2"/>
    <w:rsid w:val="004A5F38"/>
    <w:rsid w:val="004B1CA0"/>
    <w:rsid w:val="004B1F5B"/>
    <w:rsid w:val="004D4F6D"/>
    <w:rsid w:val="004D4F81"/>
    <w:rsid w:val="004E03C8"/>
    <w:rsid w:val="004F4FF6"/>
    <w:rsid w:val="0051590E"/>
    <w:rsid w:val="00542140"/>
    <w:rsid w:val="00553F6C"/>
    <w:rsid w:val="00561D70"/>
    <w:rsid w:val="005756DD"/>
    <w:rsid w:val="005A6BD2"/>
    <w:rsid w:val="005D632C"/>
    <w:rsid w:val="005E0B49"/>
    <w:rsid w:val="005F48EF"/>
    <w:rsid w:val="00613B6B"/>
    <w:rsid w:val="00646D67"/>
    <w:rsid w:val="0065252B"/>
    <w:rsid w:val="0066373C"/>
    <w:rsid w:val="006C15B7"/>
    <w:rsid w:val="006E193C"/>
    <w:rsid w:val="006E68EC"/>
    <w:rsid w:val="006F2880"/>
    <w:rsid w:val="006F7F26"/>
    <w:rsid w:val="00710B9C"/>
    <w:rsid w:val="00711291"/>
    <w:rsid w:val="00724BE6"/>
    <w:rsid w:val="0074030A"/>
    <w:rsid w:val="00760C4C"/>
    <w:rsid w:val="0076386E"/>
    <w:rsid w:val="00770712"/>
    <w:rsid w:val="0077577A"/>
    <w:rsid w:val="00781235"/>
    <w:rsid w:val="00795B3D"/>
    <w:rsid w:val="007B06E9"/>
    <w:rsid w:val="007B35FA"/>
    <w:rsid w:val="007C515E"/>
    <w:rsid w:val="007D3EEA"/>
    <w:rsid w:val="007F6FB4"/>
    <w:rsid w:val="00816FC7"/>
    <w:rsid w:val="008179B8"/>
    <w:rsid w:val="0082552A"/>
    <w:rsid w:val="00834712"/>
    <w:rsid w:val="00851AD5"/>
    <w:rsid w:val="00862868"/>
    <w:rsid w:val="008650A7"/>
    <w:rsid w:val="0088080C"/>
    <w:rsid w:val="00884512"/>
    <w:rsid w:val="00890A42"/>
    <w:rsid w:val="00897025"/>
    <w:rsid w:val="008A33A0"/>
    <w:rsid w:val="008B7F14"/>
    <w:rsid w:val="008D1BC0"/>
    <w:rsid w:val="008F7BE1"/>
    <w:rsid w:val="00907310"/>
    <w:rsid w:val="009073C4"/>
    <w:rsid w:val="00924805"/>
    <w:rsid w:val="00954EC1"/>
    <w:rsid w:val="0096480F"/>
    <w:rsid w:val="00970855"/>
    <w:rsid w:val="0097332A"/>
    <w:rsid w:val="0098190C"/>
    <w:rsid w:val="009A2A39"/>
    <w:rsid w:val="009A6899"/>
    <w:rsid w:val="009A7198"/>
    <w:rsid w:val="009E200A"/>
    <w:rsid w:val="009F0570"/>
    <w:rsid w:val="00A44342"/>
    <w:rsid w:val="00A56031"/>
    <w:rsid w:val="00A80BEE"/>
    <w:rsid w:val="00A94314"/>
    <w:rsid w:val="00A94800"/>
    <w:rsid w:val="00A95C25"/>
    <w:rsid w:val="00AA0134"/>
    <w:rsid w:val="00AB06D5"/>
    <w:rsid w:val="00AB0A62"/>
    <w:rsid w:val="00AC1532"/>
    <w:rsid w:val="00AC39B7"/>
    <w:rsid w:val="00AC6F82"/>
    <w:rsid w:val="00AD2A1E"/>
    <w:rsid w:val="00AD4971"/>
    <w:rsid w:val="00AD6EDF"/>
    <w:rsid w:val="00B15450"/>
    <w:rsid w:val="00B601A1"/>
    <w:rsid w:val="00B63E15"/>
    <w:rsid w:val="00B905FC"/>
    <w:rsid w:val="00BA7C49"/>
    <w:rsid w:val="00C242EC"/>
    <w:rsid w:val="00C313A2"/>
    <w:rsid w:val="00C33AF9"/>
    <w:rsid w:val="00C37126"/>
    <w:rsid w:val="00C37143"/>
    <w:rsid w:val="00C57E42"/>
    <w:rsid w:val="00C72FE5"/>
    <w:rsid w:val="00CA547B"/>
    <w:rsid w:val="00CB15A9"/>
    <w:rsid w:val="00CE4ECF"/>
    <w:rsid w:val="00CF5DDF"/>
    <w:rsid w:val="00D12BD6"/>
    <w:rsid w:val="00D23B9F"/>
    <w:rsid w:val="00D6796B"/>
    <w:rsid w:val="00D772A9"/>
    <w:rsid w:val="00D9754C"/>
    <w:rsid w:val="00DA52D5"/>
    <w:rsid w:val="00DA79D9"/>
    <w:rsid w:val="00DB12F1"/>
    <w:rsid w:val="00DC1E94"/>
    <w:rsid w:val="00DC7A74"/>
    <w:rsid w:val="00DD7ACB"/>
    <w:rsid w:val="00DE5FE4"/>
    <w:rsid w:val="00E07A4F"/>
    <w:rsid w:val="00E23EFE"/>
    <w:rsid w:val="00E36F24"/>
    <w:rsid w:val="00E4550D"/>
    <w:rsid w:val="00E72C2F"/>
    <w:rsid w:val="00E7631E"/>
    <w:rsid w:val="00E80643"/>
    <w:rsid w:val="00E83C87"/>
    <w:rsid w:val="00E84CAE"/>
    <w:rsid w:val="00E94E52"/>
    <w:rsid w:val="00E968FE"/>
    <w:rsid w:val="00EA00A6"/>
    <w:rsid w:val="00EC1BB8"/>
    <w:rsid w:val="00EC7AF8"/>
    <w:rsid w:val="00ED67E5"/>
    <w:rsid w:val="00EF3899"/>
    <w:rsid w:val="00F12735"/>
    <w:rsid w:val="00F4061D"/>
    <w:rsid w:val="00F6131E"/>
    <w:rsid w:val="00F66157"/>
    <w:rsid w:val="00F76419"/>
    <w:rsid w:val="00FA68B7"/>
    <w:rsid w:val="00FB6FFF"/>
    <w:rsid w:val="00FC14DC"/>
    <w:rsid w:val="00FD6FE2"/>
    <w:rsid w:val="00FE7663"/>
    <w:rsid w:val="00FF1808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B905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B905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zuev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kovanu08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kinat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h_sa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BB5121-B099-459F-8F06-46F9817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Плюснина Любовь Михайловна</cp:lastModifiedBy>
  <cp:revision>2</cp:revision>
  <cp:lastPrinted>2020-09-24T10:43:00Z</cp:lastPrinted>
  <dcterms:created xsi:type="dcterms:W3CDTF">2020-09-24T11:52:00Z</dcterms:created>
  <dcterms:modified xsi:type="dcterms:W3CDTF">2020-09-24T11:52:00Z</dcterms:modified>
</cp:coreProperties>
</file>