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8.gif" ContentType="image/gif"/>
  <Override PartName="/word/media/image5.png" ContentType="image/png"/>
  <Override PartName="/word/media/image3.jpeg" ContentType="image/jpeg"/>
  <Override PartName="/word/media/image6.jpeg" ContentType="image/jpeg"/>
  <Override PartName="/word/media/image7.png" ContentType="image/png"/>
  <Override PartName="/word/media/image9.jpeg" ContentType="image/jpeg"/>
  <Override PartName="/word/media/image10.png" ContentType="image/png"/>
  <Override PartName="/word/media/image11.png" ContentType="image/png"/>
  <Override PartName="/word/media/image1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>
      <w:pPr>
        <w:pStyle w:val="Style23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>
      <w:pPr>
        <w:pStyle w:val="Style23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«Высшая школа экономики»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23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Методическая разработка урока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по «Финансовой грамотности»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2 курс СПО, специальность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21.02.05 Земельно-имущественные отношения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Тема «Индивидуальный финансовый портфель»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Автор: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А.В. Евстратова, преподаватель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КОГПОБУ «Суводский лесхоз-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техникум» (г. Советск)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3znysh7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Киров, 201</w:t>
      </w:r>
      <w:r>
        <w:rPr>
          <w:rFonts w:eastAsia="Times New Roman" w:cs="Times New Roman" w:ascii="Times New Roman" w:hAnsi="Times New Roman"/>
          <w:sz w:val="28"/>
          <w:szCs w:val="28"/>
        </w:rPr>
        <w:t>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Оглавление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Аннотация ………………………………………………………………………...3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Введение …………………………………………………………………………..4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Общие сведения об уроке ………………………………………………………..5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Технологическая карта урока ……………………………………………………8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Список  литературы ……………………………………………………………..10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1 - Глоссарий (основные понятия) ……………………………...11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2 – Раздаточный материал ……………………………………….12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Методическая разработка раскрывает содержание и условия проведения занятия в рамках дисциплины «Основы финансовой грамотности» на тему «Индивидуальный финансовый портфель». Общий объем аудиторных занятий дисциплины составляет 48 часов.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Занятие проводится в группе обучающихся 2 курса специальности 21.02.05 Земельно-имущественные отношения и направлено на формирование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умения формировать индивидуальный финансовый портфель и оценивать его доходность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Тип урока – урок изучения и первичного закрепления новых знаний. Преобладающая форма организации деятельности - групповая. Состав рабочих групп фиксированный. Целесообразность выбранной формы обусловлена важностью организации обсуждения в группах отдельных видов. Используются метод проектов, ситуативный анализ, а также элементы деловой игры, что в совокупности позволяет обеспечить высокий уровень мотивации обучающихся и формирование устойчивых образовательных результатов. Кроме того, в рамках занятия используются элементы технологии проблемного обучения (выявление назначения индивидуального финансового портфеля), активно используются современные информационные технологии, элементы демонстрации, реализуются межпредметные связи. Большое внимание уделяется формированию стремления к повышению уровня общей финансовой грамотности.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Структура занятия обеспечивает смену видов деятельности, сопровождается мультимедийной презентаций. Самостоятельная работа обучающихся занимает ведущее место.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Основными образовательным результатом занятия являются знания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об индивидуальном инвестиционном портфеле и брокерском счете, а также умение формировать индивидуальный финансовый портфель и оценивать его доходность.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Введение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Проблема формирования индивидуального портфеля является одним из наиболее сложных аспектов финансовой грамотности. Не только студенты, но и подавляющее большинство взрослого населения считают рынок ценных бумаг чем-то недоступным для обычного человека, а инвестирование в ценные бумаги - чем-то невероятно сложным и требующим серьезных финансовых ресурсов. При этом, совершенно очевидно, что в ситуации, когда ставка по банковским депозитам (даже срочным) ниже уровня инфляции, инвестирование в ценные бумаги целесообразно рассматривать хотя бы как способ формирования и сохранения личного капитала, личной «подушки безопасности».  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Задача преподавателя – «сломать» сложившиеся стереотипы, показать реальные возможности российского рынка ценных бумаг, но при этом не переусердствовать, показать и опасности этого рынка и основные правила поведения на нем.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Данная методическая разработка может быть использована не только в рамках дисциплины «Основы финансовой грамотности», но и как внеаудиторное занятие по финансовой грамотности при условии, что его предваряет знакомство аудитории с особенностями различных видов ценных бумаг.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Содержание урока, методы и средства формирования образовательных результатов способствуют реализации компетентностного подхода в обучении, что соответствует требованиям ФГОС СПО.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Общие сведения об уроке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Тема урока: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«Индивидуальный финансовый портфель».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Тип урока: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урок изучения и первичного закрепления новых знаний.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Цели урока: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образовательные: 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дать представление об индивидуальном финансовом портфеле;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дать представление о брокерском счете;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сформировать умение формировать индивидуальный финансовый портфель и оценивать его доходность;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развивающие: 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развивать интерес обучающихся к изучению рынка ценных бумаг;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развивать умения частично-поисковой познавательной деятельности;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развивать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способность самостоятельно принимать решения в отношении личных финансов;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развивать умения аргументированно излагать свою точку зрения, обобщать информацию и делать выводы;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воспитательные: 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формировать у обучающихся грамотное отношение к рынку ценных бумаг;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формировать ответственное отношение к своему будущему;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формировать умение работать в коллективе и выстраивать эффективное взаимодействие с коллегами.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Дидактическая задача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урока: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организовать деятельность обучающихся по восприятию, осмыслению и первичному закреплению учебной информации по проблеме формирования индивидуального финансового портфеля.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Дидактические средства на уроке: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раздаточный материал (условные ценные бумаги, условные денежные купюры, таблица доходности ценных бумаг), элемент рабочей тетради, мультимедийная презентация.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Планируемые результаты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личностные: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ценность Родины (учиться проявлять себя гражданином России, замечать и объяснять свою причастность к интересам и ценностям своей страны; воспитывать в себе чувство патриотизма; осознавать свой долг и ответственность перед людьми своего общества, своей страной; учиться исполнять свой долг, свои обязательства перед своим обществом, гражданами своей страны; отстаивать равноправные, демократические порядки и препятствовать их нарушению; понимать принципы функционирования финансового рынка);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 ценность целостного мировоззрения (осознавать потребность и готовность к самообразованию; осознавать свои интересы, находить и изучать дополнительный материал, имеющий отношение к своим интересам; постепенно выстраивать собственное целостное мировоззрение; понимать личную ответственность за решения, принимаемые в процессе взаимодействия с финансовым рынком; ответственность за свое будущее);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ценность социализации (осознанно осваивать разные роли и формы общения по мере своего взросления и встраивания в разные сообщества, группы, взаимоотношения; учиться не только воспринимать, но и критически осмысливать и принимать новые правила поведения в соответствии с включением в новое сообщество, с изменением своего статуса);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ценность здоровья (оценивать жизненные ситуации с точки зрения безопасного образа жизни и сохранения здоровья; 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окружающих);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самооценка и самоопределение (учиться замечать и признавать расхождение своих поступков со своими заявленными позициями, взглядами, мнениями;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оценивать жизненные ситуации (поступки людей) с разных точек зрения (нравственных, гражданско-патриотических и т.д.);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осознавать и называть свои ближайшие цели саморазвития;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осознавать и называть свои стратегические цели саморазвития);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предметные: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знания основ функционирования рынка ценных бумаг;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знания основных видов ценных бумаг;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умения по формированию индивидуального финансового портфеля;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умения по оценке принятых решений в области инвестирования;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умения оценивать доходность индивидуального финансового портфеля;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метапредметные: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регулятивные</w:t>
      </w:r>
      <w:r>
        <w:rPr>
          <w:color w:val="000000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умение определять и формулировать цель деятельности; умение составлять план действия по решению проблемы; умение осуществлять действия по реализации плана; умение соотносить результат своей деятельности с целью);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познавательные (владение умением решать практические финансовые задачи; владение информацией финансового характера, своевременный анализ и адаптация к собственным потребностям; определение стратегических целей в области управления личными финансами; постановка стратегических задач для достижения личных финансовых целей;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 подбор альтернативных путей достижения поставленных целей и решения задач);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коммуникативные (нахождение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 анализ и интерпретация финансовой информации из различных источников).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Основные понятия: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рынок ценных бумаг, ценная бумага, акция, облигация, доходность ценной бумаги; индивидуальный финансовый портфель, брокерский счет, доходность портфеля (см. Приложение 1).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Формы обучения: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фронтальная;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групповая.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Межпредметные связи: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обществознание;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математика;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финансы, денежное обращение и кредит;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оценка стоимости недвижимого имущества.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Оборудование:</w:t>
      </w:r>
    </w:p>
    <w:p>
      <w:pPr>
        <w:pStyle w:val="Normal"/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персональный компьютер;</w:t>
      </w:r>
    </w:p>
    <w:p>
      <w:pPr>
        <w:pStyle w:val="Normal"/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проектор;</w:t>
      </w:r>
    </w:p>
    <w:p>
      <w:pPr>
        <w:pStyle w:val="Normal"/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интерактивная доска;</w:t>
      </w:r>
    </w:p>
    <w:p>
      <w:pPr>
        <w:pStyle w:val="Normal"/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раздаточный материал.</w:t>
      </w:r>
    </w:p>
    <w:p>
      <w:pPr>
        <w:pStyle w:val="Normal"/>
        <w:pBdr/>
        <w:spacing w:lineRule="auto" w:line="360" w:before="0" w:after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Домашнее задание: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сравнить условия открытия индивидуального брокерского счета в АО «Сбербанк» и АО «Тинькофф Банк».</w:t>
      </w:r>
    </w:p>
    <w:p>
      <w:pPr>
        <w:pStyle w:val="Normal"/>
        <w:pBdr/>
        <w:tabs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9498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126"/>
        <w:gridCol w:w="2835"/>
        <w:gridCol w:w="2835"/>
        <w:gridCol w:w="1701"/>
      </w:tblGrid>
      <w:tr>
        <w:trPr>
          <w:trHeight w:val="519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10413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>
        <w:trPr>
          <w:trHeight w:val="555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93" w:leader="none"/>
              </w:tabs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Приветствует обучающихся </w:t>
            </w:r>
          </w:p>
          <w:p>
            <w:pPr>
              <w:pStyle w:val="Normal"/>
              <w:tabs>
                <w:tab w:val="left" w:pos="5593" w:leader="none"/>
              </w:tabs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Заполняет журнал, рапортичку</w:t>
            </w:r>
          </w:p>
          <w:p>
            <w:pPr>
              <w:pStyle w:val="Normal"/>
              <w:tabs>
                <w:tab w:val="left" w:pos="5593" w:leader="none"/>
              </w:tabs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Организует внимание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Проверяет готовность доски, проектора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93" w:leader="none"/>
              </w:tabs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Приветствуют преподавателя</w:t>
            </w:r>
          </w:p>
          <w:p>
            <w:pPr>
              <w:pStyle w:val="Normal"/>
              <w:tabs>
                <w:tab w:val="left" w:pos="5593" w:leader="none"/>
              </w:tabs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Староста заполняет  рапортичку</w:t>
            </w:r>
          </w:p>
          <w:p>
            <w:pPr>
              <w:pStyle w:val="Normal"/>
              <w:tabs>
                <w:tab w:val="left" w:pos="5593" w:leader="none"/>
              </w:tabs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Проверяют готовность рабочего места</w:t>
            </w:r>
          </w:p>
          <w:p>
            <w:pPr>
              <w:pStyle w:val="Normal"/>
              <w:tabs>
                <w:tab w:val="left" w:pos="5593" w:leader="none"/>
              </w:tabs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Уточняют организационные моменты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Готовность обучающихся</w:t>
            </w:r>
          </w:p>
          <w:p>
            <w:pPr>
              <w:pStyle w:val="Normal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Готовность рабочих мест преподавателя и обучающихся</w:t>
            </w:r>
          </w:p>
        </w:tc>
      </w:tr>
      <w:tr>
        <w:trPr>
          <w:trHeight w:val="8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Проверяет уровень усвоения материала предыдущих занятий посредством фронтального опроса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Отвечает на вопросы обучающихся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Отвечают на вопросы преподавателя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Уточняют отдельные моменты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степени усвоения материала предыдущих занятий</w:t>
            </w:r>
          </w:p>
        </w:tc>
      </w:tr>
      <w:tr>
        <w:trPr>
          <w:trHeight w:val="8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Проверяет домашнее задание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Выявляет обучающихся, затруднившихся при выполнении домашнего задания, организует индивидуальную работу с ними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Сообщают о результатах выполнения домашнего задания</w:t>
            </w:r>
          </w:p>
          <w:p>
            <w:pPr>
              <w:pStyle w:val="Normal"/>
              <w:tabs>
                <w:tab w:val="left" w:pos="5593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Демонстрируют выполнение домашнего задания, сообщают о возникших затруднениях</w:t>
            </w:r>
          </w:p>
          <w:p>
            <w:pPr>
              <w:pStyle w:val="Normal"/>
              <w:tabs>
                <w:tab w:val="left" w:pos="5593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Обсуждают возникшие трудности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Разрешение трудностей, возникших при выполнении домашнего задания у отдельных обучающихся</w:t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Побуждает к определению цели и задач занятия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Реализует межпредметные связи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Определяет условия достижения цели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Организует  формирование интереса к финансовому рынку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Отвечают на вопросы преподавателя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Формулируют тему занятия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Формулируют цель занятия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задачи</w:t>
            </w:r>
          </w:p>
          <w:p>
            <w:pPr>
              <w:pStyle w:val="Normal"/>
              <w:widowControl w:val="false"/>
              <w:tabs>
                <w:tab w:val="left" w:pos="254" w:leader="none"/>
              </w:tabs>
              <w:spacing w:lineRule="auto" w:line="240" w:before="0" w:after="0"/>
              <w:ind w:left="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Формулировка темы, цели и задач занятия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Мотивация обучающихся к учебной деятельности</w:t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Первичное усвоение, восприятие и осмысление нового материала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Мотивирует к рассмотрению сущности и назначения индивидуального финансового портфеля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Сообщает новый материал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Демонстрирует возможности открытия брокерского счета онлайн на сайтах АО «Сбербанк» и АО «Тинькофф Банк».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Отвечает на вопросы обучающихся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Помогают выявить назначение индивидуального финансового портфеля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Слушают новый материал, задают вопросы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Заполняют рабочую тетрадь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Понимание обучающимися цели и значимости изучаемого материала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Усвоение обучающимися назначения индивидуального финансового портфеля</w:t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Первичное закрепление изученного материала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Мотивирует к выполнению практического задания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Организует выполнение практического задания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Консультирует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Заслушивает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Выполняют практическое задание (формируют в группах финансовый портфель, оценивают его доходность, корректируют финансовый портфель)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Задают вопросы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Получение финансовых портфелей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Совместно со студентами подводит итоги занятия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Совместно с обучающимися дает оценку достижению поставленных цели и задач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Сообщает о теме следующего занятия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Обобщают полученные результаты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Совместно с преподавателем дают оценку достижению поставленных цели и задач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Дают оценку своей работе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об  уровне усвоения темы занятия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достижении поставленных цели и задач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об оценке обучающимися продуктивности своей работы</w:t>
            </w:r>
          </w:p>
        </w:tc>
      </w:tr>
      <w:tr>
        <w:trPr>
          <w:trHeight w:val="102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о домашнем задании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Сообщает домашнее задание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Отвечает на вопросы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Прощается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Записывают домашнее задание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Задают вопросы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Прощаются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Запись домашнего задания в рабочих тетрадях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литературы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663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Федеральный закон от 22.04.1996 г. № 39-ФЗ (ред. от 27.12.2018) «О рынке ценных бумаг» // КонсультантПлюс. – Режим доступа: http://www.consultant.ru/document/cons_doc_LAW_10148/1097032d0a9415d7edcc4f31c7aa4abe106f0720.</w:t>
      </w:r>
    </w:p>
    <w:p>
      <w:pPr>
        <w:pStyle w:val="Normal"/>
        <w:tabs>
          <w:tab w:val="left" w:pos="6630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Банки.Ру. – Режим доступа: https://www.banki.ru.</w:t>
        <w:tab/>
      </w:r>
    </w:p>
    <w:p>
      <w:pPr>
        <w:pStyle w:val="1"/>
        <w:shd w:val="clear" w:color="auto" w:fill="FFFFFF"/>
        <w:spacing w:lineRule="auto" w:line="360" w:before="0" w:after="200"/>
        <w:ind w:firstLine="709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3. Вовлеченность населения в инвестиционный процесс // </w:t>
      </w:r>
      <w:r>
        <w:rPr>
          <w:rFonts w:eastAsia="Calibri" w:cs="Times New Roman" w:ascii="Times New Roman" w:hAnsi="Times New Roman"/>
          <w:caps/>
          <w:color w:val="00000A"/>
          <w:sz w:val="28"/>
          <w:szCs w:val="28"/>
        </w:rPr>
        <w:t>bcs-express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. – Режим доступа: protsess</w:t>
      </w:r>
      <w:r>
        <w:rPr/>
        <w:t xml:space="preserve"> </w:t>
      </w:r>
      <w:hyperlink r:id="rId2">
        <w:r>
          <w:rPr>
            <w:rStyle w:val="Style17"/>
            <w:rFonts w:eastAsia="Calibri" w:cs="Times New Roman" w:ascii="Times New Roman" w:hAnsi="Times New Roman"/>
            <w:sz w:val="28"/>
            <w:szCs w:val="28"/>
          </w:rPr>
          <w:t>https://bcs-express.ru/novosti-i-analitika/vovlechennost-naseleniia-mira-v-investitsionnyi-protsess</w:t>
        </w:r>
      </w:hyperlink>
      <w:r>
        <w:rPr>
          <w:rFonts w:eastAsia="Calibri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Официальный сайт АО «Сбербанк». – Режим доступа: </w:t>
      </w:r>
      <w:hyperlink r:id="rId3">
        <w:r>
          <w:rPr>
            <w:rStyle w:val="Style17"/>
            <w:rFonts w:cs="Times New Roman" w:ascii="Times New Roman" w:hAnsi="Times New Roman"/>
            <w:sz w:val="28"/>
            <w:szCs w:val="28"/>
          </w:rPr>
          <w:t>https://www.sberbank.ru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Официальный сайт АО «Тинькофф Банк». – Режим доступа: </w:t>
      </w:r>
      <w:hyperlink r:id="rId4">
        <w:r>
          <w:rPr>
            <w:rStyle w:val="Style17"/>
            <w:rFonts w:cs="Times New Roman" w:ascii="Times New Roman" w:hAnsi="Times New Roman"/>
            <w:sz w:val="28"/>
            <w:szCs w:val="28"/>
          </w:rPr>
          <w:t>https://www.tinkoff.ru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Курс акций компаний // </w:t>
      </w:r>
      <w:r>
        <w:rPr>
          <w:rFonts w:cs="Times New Roman" w:ascii="Times New Roman" w:hAnsi="Times New Roman"/>
          <w:caps/>
          <w:sz w:val="28"/>
          <w:szCs w:val="28"/>
          <w:lang w:val="en-US"/>
        </w:rPr>
        <w:t>tikr</w:t>
      </w:r>
      <w:r>
        <w:rPr>
          <w:rFonts w:cs="Times New Roman" w:ascii="Times New Roman" w:hAnsi="Times New Roman"/>
          <w:caps/>
          <w:sz w:val="28"/>
          <w:szCs w:val="28"/>
        </w:rPr>
        <w:t>.</w:t>
      </w:r>
      <w:r>
        <w:rPr>
          <w:rFonts w:cs="Times New Roman" w:ascii="Times New Roman" w:hAnsi="Times New Roman"/>
          <w:caps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caps/>
          <w:sz w:val="28"/>
          <w:szCs w:val="28"/>
        </w:rPr>
        <w:t>. – Р</w:t>
      </w:r>
      <w:r>
        <w:rPr>
          <w:rFonts w:cs="Times New Roman" w:ascii="Times New Roman" w:hAnsi="Times New Roman"/>
          <w:sz w:val="28"/>
          <w:szCs w:val="28"/>
        </w:rPr>
        <w:t xml:space="preserve">ежим доступа: </w:t>
      </w:r>
      <w:hyperlink r:id="rId5"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tikr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ru</w:t>
        </w:r>
        <w:r>
          <w:rPr>
            <w:rStyle w:val="Style17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Style17"/>
            <w:rFonts w:cs="Times New Roman" w:ascii="Times New Roman" w:hAnsi="Times New Roman"/>
            <w:sz w:val="28"/>
            <w:szCs w:val="28"/>
            <w:lang w:val="en-US"/>
          </w:rPr>
          <w:t>stock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6630" w:leader="none"/>
        </w:tabs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Глоссарий (основные понятия)</w:t>
      </w:r>
    </w:p>
    <w:tbl>
      <w:tblPr>
        <w:tblStyle w:val="a9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6767"/>
      </w:tblGrid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Рынок ценных бумаг</w:t>
            </w:r>
          </w:p>
        </w:tc>
        <w:tc>
          <w:tcPr>
            <w:tcW w:w="6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совокупность экономических отношений по поводу выпуска и обращения ценных бумаг между его участниками.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Эмиссионная ценная бумага</w:t>
            </w:r>
          </w:p>
        </w:tc>
        <w:tc>
          <w:tcPr>
            <w:tcW w:w="6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любая ценная бумага, в том числе бездокументарная, которая характеризуется одновременно следующими признаками: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014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- закрепляет совокупность имущественных и неимущественных прав, подлежащих удостоверению, уступке и безусловному осуществлению с соблюдением установленных Федеральным законом от 22.04.1996 г. №39-ФЗ «О рынке ценных бумаг» формы и порядка;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0015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- размещается выпусками;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00016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- имеет равные объем и сроки осуществления прав внутри одного выпуска вне зависимости от времени приобретения ценной бумаги.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Акция </w:t>
            </w:r>
          </w:p>
        </w:tc>
        <w:tc>
          <w:tcPr>
            <w:tcW w:w="6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Облигация </w:t>
            </w:r>
          </w:p>
        </w:tc>
        <w:tc>
          <w:tcPr>
            <w:tcW w:w="6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эмиссионная ценная бумага, закрепляющая право ее владельца на получение, если иное не предусмотрено Федеральным законом от 22.04.1996 г. №39-ФЗ «О рынке ценных бумаг», в срок, предусмотренный в ней, от эмитента облигации ее номинальной стоимости или иного имущественного эквивалента. Облигация при соблюдении условий, установленных настоящим Федеральным законом, может не предусматривать право ее владельца на получение номинальной стоимости облигации в зависимости от наступления одного или нескольких указанных в ней обстоятельств. Облигация может также предусматривать право ее владельца на получение установленных в ней процентов либо иные имущественные права. Доходом по облигации являются процент и (или) дисконт.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Доходность ценной бумаги</w:t>
            </w:r>
          </w:p>
        </w:tc>
        <w:tc>
          <w:tcPr>
            <w:tcW w:w="6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сравнительная величина, характеризующая отношение дохода, полученного с нее, к базовому показателю или рыночной цене данной ценной бумаги.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Индивидуальный финансовый портфель</w:t>
            </w:r>
          </w:p>
        </w:tc>
        <w:tc>
          <w:tcPr>
            <w:tcW w:w="6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совокупность ценных бумаг, принадлежащих физическому лицу, выступающая как целостный объект управления. 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Брокерский счет </w:t>
            </w:r>
          </w:p>
        </w:tc>
        <w:tc>
          <w:tcPr>
            <w:tcW w:w="67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счет, владелец которого выдал письменную доверенность другому лицу (брокеру) на право распоряжаться этим счетом для самостоятельного проведения торговых операций.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ind w:firstLine="709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Раздаточный материал</w:t>
      </w:r>
    </w:p>
    <w:tbl>
      <w:tblPr>
        <w:tblStyle w:val="a9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2"/>
        <w:gridCol w:w="2393"/>
        <w:gridCol w:w="2392"/>
      </w:tblGrid>
      <w:tr>
        <w:trPr>
          <w:trHeight w:val="1009" w:hRule="atLeast"/>
        </w:trPr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50 рублей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100 рублей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1000 рублей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5000 рублей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9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7"/>
        <w:gridCol w:w="3217"/>
        <w:gridCol w:w="3166"/>
      </w:tblGrid>
      <w:tr>
        <w:trPr>
          <w:trHeight w:val="1601" w:hRule="atLeast"/>
        </w:trPr>
        <w:tc>
          <w:tcPr>
            <w:tcW w:w="3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drawing>
                <wp:anchor behindDoc="0" distT="0" distB="9525" distL="114300" distR="123190" simplePos="0" locked="0" layoutInCell="1" allowOverlap="1" relativeHeight="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-672465</wp:posOffset>
                  </wp:positionV>
                  <wp:extent cx="1838960" cy="885825"/>
                  <wp:effectExtent l="0" t="0" r="0" b="0"/>
                  <wp:wrapTight wrapText="bothSides">
                    <wp:wrapPolygon edited="0">
                      <wp:start x="-160" y="0"/>
                      <wp:lineTo x="-160" y="21186"/>
                      <wp:lineTo x="21438" y="21186"/>
                      <wp:lineTo x="21438" y="0"/>
                      <wp:lineTo x="-160" y="0"/>
                    </wp:wrapPolygon>
                  </wp:wrapTight>
                  <wp:docPr id="1" name="Рисунок 1" descr="https://static1.banki.ru/ugc/59/19/bc/28/novat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static1.banki.ru/ugc/59/19/bc/28/novat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0" t="8225" r="0" b="15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050 РУБ.</w:t>
            </w:r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  <w:drawing>
                <wp:inline distT="0" distB="0" distL="0" distR="0">
                  <wp:extent cx="1876425" cy="800100"/>
                  <wp:effectExtent l="0" t="0" r="0" b="0"/>
                  <wp:docPr id="2" name="Рисунок 3" descr="https://www.record16.ru/img/client/clien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s://www.record16.ru/img/client/clien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8121" r="0" b="16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5500 РУБ.</w:t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9525" distL="0" distR="9525">
                  <wp:extent cx="1285875" cy="809625"/>
                  <wp:effectExtent l="0" t="0" r="0" b="0"/>
                  <wp:docPr id="3" name="Рисунок 4" descr="https://static4.banki.ru/ugc/bb/37/f6/12/nornike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s://static4.banki.ru/ugc/bb/37/f6/12/nornike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13500 РУБ.</w:t>
            </w:r>
          </w:p>
        </w:tc>
      </w:tr>
      <w:tr>
        <w:trPr>
          <w:trHeight w:val="1514" w:hRule="atLeast"/>
        </w:trPr>
        <w:tc>
          <w:tcPr>
            <w:tcW w:w="3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9525" distL="0" distR="9525">
                  <wp:extent cx="1285875" cy="809625"/>
                  <wp:effectExtent l="0" t="0" r="0" b="0"/>
                  <wp:docPr id="4" name="Рисунок 5" descr="https://static1.banki.ru/ugc/61/1f/ae/93/fsk-ees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https://static1.banki.ru/ugc/61/1f/ae/93/fsk-ees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0,15 РУБ. ЛОТ 200 ШТ.</w:t>
            </w:r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9525" distL="0" distR="9525">
                  <wp:extent cx="1724025" cy="809625"/>
                  <wp:effectExtent l="0" t="0" r="0" b="0"/>
                  <wp:docPr id="5" name="Рисунок 7" descr="https://igate.com.ua/upload/company/372/37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" descr="https://igate.com.ua/upload/company/372/37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0" t="25840" r="0" b="27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198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250 РУБ.</w:t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9525" distL="0" distR="9525">
                  <wp:extent cx="1285875" cy="809625"/>
                  <wp:effectExtent l="0" t="0" r="0" b="0"/>
                  <wp:docPr id="6" name="Рисунок 8" descr="https://static1.banki.ru/ugc/86/d2/77/1a/rushydro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" descr="https://static1.banki.ru/ugc/86/d2/77/1a/rushydro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0,50 РУБ. ЛОТ 100 ШТ.</w:t>
            </w:r>
          </w:p>
        </w:tc>
      </w:tr>
      <w:tr>
        <w:trPr/>
        <w:tc>
          <w:tcPr>
            <w:tcW w:w="3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4445">
                  <wp:extent cx="1386205" cy="571500"/>
                  <wp:effectExtent l="0" t="0" r="0" b="0"/>
                  <wp:docPr id="7" name="Рисунок 9" descr="https://ipc-ocenka.ru/wp-content/uploads/2018/09/logo_Sber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9" descr="https://ipc-ocenka.ru/wp-content/uploads/2018/09/logo_Sber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200 РУБ.</w:t>
            </w:r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809750" cy="597535"/>
                  <wp:effectExtent l="0" t="0" r="0" b="0"/>
                  <wp:docPr id="8" name="Рисунок 12" descr="https://system4you.ru/uploads/page/16/aeroflot_2018-11-20_16-06-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2" descr="https://system4you.ru/uploads/page/16/aeroflot_2018-11-20_16-06-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100 РУБ.</w:t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  <w:drawing>
                <wp:inline distT="0" distB="0" distL="0" distR="0">
                  <wp:extent cx="1485900" cy="647700"/>
                  <wp:effectExtent l="0" t="0" r="0" b="0"/>
                  <wp:docPr id="9" name="Рисунок 13" descr="http://www.razvitierebenka.net/mag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3" descr="http://www.razvitierebenka.net/mag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0" t="30778" r="0" b="25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3 800 РУБ.</w:t>
            </w:r>
          </w:p>
        </w:tc>
      </w:tr>
      <w:tr>
        <w:trPr/>
        <w:tc>
          <w:tcPr>
            <w:tcW w:w="31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ОБЛИГАЦИИ ФЕДЕРАЛЬНОГО ЗАЙМА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  <w:drawing>
                <wp:inline distT="0" distB="3810" distL="0" distR="5080">
                  <wp:extent cx="1709420" cy="873125"/>
                  <wp:effectExtent l="0" t="0" r="0" b="0"/>
                  <wp:docPr id="10" name="Рисунок 14" descr="http://investprofit.info/wp-content/uploads/2016/11/ofz_RF-1320x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4" descr="http://investprofit.info/wp-content/uploads/2016/11/ofz_RF-1320x6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1000 РУБ.</w:t>
            </w:r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ОПИФ рыночных финансовых инструментов «УРАЛСИБ Глобальные инновации»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  <w:drawing>
                <wp:inline distT="0" distB="1905" distL="0" distR="9525">
                  <wp:extent cx="1895475" cy="379095"/>
                  <wp:effectExtent l="0" t="0" r="0" b="0"/>
                  <wp:docPr id="11" name="Рисунок 15" descr="http://logos-vector.com/images/logo/lar/7/5/4/75487/Uralsib_937e0_250x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5" descr="http://logos-vector.com/images/logo/lar/7/5/4/75487/Uralsib_937e0_250x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1000 РУБ./1 ПАЙ</w:t>
            </w:r>
          </w:p>
        </w:tc>
        <w:tc>
          <w:tcPr>
            <w:tcW w:w="3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ОПИФ рыночных финансовых инструментов «ВТБ – Фонд Акций»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  <w:drawing>
                <wp:inline distT="0" distB="0" distL="0" distR="0">
                  <wp:extent cx="1447800" cy="714375"/>
                  <wp:effectExtent l="0" t="0" r="0" b="0"/>
                  <wp:docPr id="12" name="Рисунок 16" descr="https://kreditmoneya.ru/wp-content/auploads/706741/bank_vt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6" descr="https://kreditmoneya.ru/wp-content/auploads/706741/bank_vt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0" t="20212" r="0" b="14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5000 РУБ./1 ПАЙ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ДОХОДНОСТЬ ЦЕННЫХ БУМАГ ЗА 2018 ГОД (по данным БАНКИ.РУ)</w:t>
      </w:r>
    </w:p>
    <w:tbl>
      <w:tblPr>
        <w:tblStyle w:val="a9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4359"/>
      </w:tblGrid>
      <w:tr>
        <w:trPr>
          <w:trHeight w:val="425" w:hRule="atLeast"/>
        </w:trPr>
        <w:tc>
          <w:tcPr>
            <w:tcW w:w="52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ИНСТРУМЕНТА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ДОХОДНОСТЬ, %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Акции НОВАТЭК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+47,13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Акции ЛУКОЙЛ НК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+47,87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Акции Норникель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+24,3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Акции ФСК ЕЭС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-6,34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Акции МТС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-18,39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Акции РусГидро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-33,76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Обыкновенные акции Сбербанк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-24,94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Акции Аэрофлот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-38,95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Акции МАГНИТ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-24,61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Облигации федерального займа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+8,5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Пай «УРАЛСИБ Глобальные инновации»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+9,47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Пай «ВТБ – Фонд Акций»</w:t>
            </w:r>
          </w:p>
        </w:tc>
        <w:tc>
          <w:tcPr>
            <w:tcW w:w="4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+14,73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18"/>
      <w:type w:val="nextPage"/>
      <w:pgSz w:w="11906" w:h="16838"/>
      <w:pgMar w:left="1985" w:right="567" w:header="0" w:top="1134" w:footer="709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2097162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df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qFormat/>
    <w:rsid w:val="00e24193"/>
    <w:pPr>
      <w:keepNext/>
      <w:keepLines/>
      <w:spacing w:before="240" w:after="0"/>
      <w:outlineLvl w:val="0"/>
    </w:pPr>
    <w:rPr>
      <w:rFonts w:ascii="Cambria" w:hAnsi="Cambria" w:eastAsia="Cambria" w:cs="Cambria"/>
      <w:color w:val="36609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3"/>
    <w:qFormat/>
    <w:rsid w:val="00112df4"/>
    <w:rPr>
      <w:rFonts w:ascii="Cambria" w:hAnsi="Cambria" w:eastAsia="Cambria" w:cs="Cambria"/>
      <w:b/>
      <w:sz w:val="32"/>
      <w:szCs w:val="32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7932a8"/>
    <w:rPr>
      <w:rFonts w:ascii="Calibri" w:hAnsi="Calibri" w:eastAsia="Calibri" w:cs="Calibri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7932a8"/>
    <w:rPr>
      <w:rFonts w:ascii="Calibri" w:hAnsi="Calibri" w:eastAsia="Calibri" w:cs="Calibri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670e25"/>
    <w:rPr>
      <w:rFonts w:ascii="Tahoma" w:hAnsi="Tahoma" w:eastAsia="Calibri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e24193"/>
    <w:rPr>
      <w:rFonts w:ascii="Cambria" w:hAnsi="Cambria" w:eastAsia="Cambria" w:cs="Cambria"/>
      <w:color w:val="366091"/>
      <w:sz w:val="32"/>
      <w:szCs w:val="32"/>
      <w:lang w:eastAsia="ru-RU"/>
    </w:rPr>
  </w:style>
  <w:style w:type="character" w:styleId="Blk" w:customStyle="1">
    <w:name w:val="blk"/>
    <w:basedOn w:val="DefaultParagraphFont"/>
    <w:qFormat/>
    <w:rsid w:val="00db6c10"/>
    <w:rPr/>
  </w:style>
  <w:style w:type="character" w:styleId="Style17">
    <w:name w:val="Интернет-ссылка"/>
    <w:basedOn w:val="DefaultParagraphFont"/>
    <w:uiPriority w:val="99"/>
    <w:unhideWhenUsed/>
    <w:rsid w:val="00db6c10"/>
    <w:rPr>
      <w:color w:val="0000FF"/>
      <w:u w:val="single"/>
    </w:rPr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link w:val="a4"/>
    <w:qFormat/>
    <w:rsid w:val="00112df4"/>
    <w:pPr>
      <w:spacing w:lineRule="auto" w:line="240" w:before="240" w:after="60"/>
      <w:jc w:val="center"/>
    </w:pPr>
    <w:rPr>
      <w:rFonts w:ascii="Cambria" w:hAnsi="Cambria" w:eastAsia="Cambria" w:cs="Cambria"/>
      <w:b/>
      <w:sz w:val="32"/>
      <w:szCs w:val="32"/>
    </w:rPr>
  </w:style>
  <w:style w:type="paragraph" w:styleId="Style24">
    <w:name w:val="Header"/>
    <w:basedOn w:val="Normal"/>
    <w:link w:val="a6"/>
    <w:uiPriority w:val="99"/>
    <w:unhideWhenUsed/>
    <w:rsid w:val="007932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7932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670e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59c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70e2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cs-express.ru/novosti-i-analitika/vovlechennost-naseleniia-mira-v-investitsionnyi-protsess" TargetMode="External"/><Relationship Id="rId3" Type="http://schemas.openxmlformats.org/officeDocument/2006/relationships/hyperlink" Target="https://www.sberbank.ru/" TargetMode="External"/><Relationship Id="rId4" Type="http://schemas.openxmlformats.org/officeDocument/2006/relationships/hyperlink" Target="https://www.tinkoff.ru/" TargetMode="External"/><Relationship Id="rId5" Type="http://schemas.openxmlformats.org/officeDocument/2006/relationships/hyperlink" Target="http://tikr.ru/stoc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gif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E44E-24FC-428A-A2B4-A64D98E0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Application>LibreOffice/5.1.3.2$Windows_x86 LibreOffice_project/644e4637d1d8544fd9f56425bd6cec110e49301b</Application>
  <Pages>12</Pages>
  <Words>1846</Words>
  <Characters>13977</Characters>
  <CharactersWithSpaces>15631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2019-03-12T17:12:00Z</dcterms:created>
  <dc:creator>Anastasia</dc:creator>
  <dc:description/>
  <dc:language>ru-RU</dc:language>
  <cp:lastModifiedBy/>
  <cp:lastPrinted>2019-03-15T08:44:08Z</cp:lastPrinted>
  <dcterms:modified xsi:type="dcterms:W3CDTF">2019-03-15T08:45:53Z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