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6720C" w:rsidRPr="00B14704" w14:paraId="1407B373" w14:textId="77777777" w:rsidTr="000420D4">
        <w:tc>
          <w:tcPr>
            <w:tcW w:w="4928" w:type="dxa"/>
          </w:tcPr>
          <w:p w14:paraId="1407B369" w14:textId="77777777"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8BA24CA" w14:textId="77777777" w:rsidR="00C06629" w:rsidRPr="004E1250" w:rsidRDefault="00C06629" w:rsidP="00C066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58223E89" w14:textId="77777777" w:rsidR="00C06629" w:rsidRPr="004E1250" w:rsidRDefault="00C06629" w:rsidP="00C066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>к приказу НИУ ВШЭ</w:t>
            </w:r>
          </w:p>
          <w:p w14:paraId="34C5EFDA" w14:textId="45A23DDF" w:rsidR="00C06629" w:rsidRPr="004E1250" w:rsidRDefault="00C06629" w:rsidP="00ED30C9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>от</w:t>
            </w:r>
            <w:r w:rsidR="00ED30C9" w:rsidRPr="00ED30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C9" w:rsidRPr="00C9704B">
              <w:rPr>
                <w:rFonts w:ascii="Times New Roman" w:hAnsi="Times New Roman"/>
                <w:sz w:val="26"/>
                <w:szCs w:val="26"/>
                <w:u w:val="single"/>
              </w:rPr>
              <w:t>01.10.2018</w:t>
            </w:r>
            <w:r w:rsidRPr="004E1250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ED30C9" w:rsidRPr="00C9704B">
              <w:rPr>
                <w:rFonts w:ascii="Times New Roman" w:hAnsi="Times New Roman"/>
                <w:sz w:val="26"/>
                <w:szCs w:val="26"/>
                <w:u w:val="single"/>
              </w:rPr>
              <w:t>6.18.1-01/0110-22</w:t>
            </w:r>
            <w:r w:rsidRPr="004E125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14:paraId="288F4F1F" w14:textId="77777777" w:rsidR="00C06629" w:rsidRDefault="00C06629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CDB1255" w14:textId="77777777" w:rsidR="00C06629" w:rsidRDefault="00C06629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407B36F" w14:textId="77777777" w:rsidR="00E6720C" w:rsidRPr="00B14704" w:rsidRDefault="00AE66C6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14:paraId="1407B370" w14:textId="77777777" w:rsidR="00AE66C6" w:rsidRPr="00B14704" w:rsidRDefault="00AE66C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ученым советом Национального исследовательского университета «Высшая школа экономики»</w:t>
            </w:r>
          </w:p>
          <w:p w14:paraId="1407B371" w14:textId="396474D6" w:rsidR="00AE66C6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C06629">
              <w:rPr>
                <w:rFonts w:ascii="Times New Roman" w:hAnsi="Times New Roman"/>
                <w:sz w:val="26"/>
                <w:szCs w:val="26"/>
              </w:rPr>
              <w:t>28.09.</w:t>
            </w:r>
            <w:r w:rsidR="009918AA">
              <w:rPr>
                <w:rFonts w:ascii="Times New Roman" w:hAnsi="Times New Roman"/>
                <w:sz w:val="26"/>
                <w:szCs w:val="26"/>
              </w:rPr>
              <w:t>201</w:t>
            </w:r>
            <w:r w:rsidR="000F7A2C">
              <w:rPr>
                <w:rFonts w:ascii="Times New Roman" w:hAnsi="Times New Roman"/>
                <w:sz w:val="26"/>
                <w:szCs w:val="26"/>
              </w:rPr>
              <w:t>8</w:t>
            </w:r>
            <w:r w:rsidR="009918A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E072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14:paraId="1407B372" w14:textId="6122A01A" w:rsidR="00030AA4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07B374" w14:textId="77777777"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5" w14:textId="77777777"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6" w14:textId="77777777"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77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14:paraId="1407B378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14:paraId="1407B379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</w:t>
      </w:r>
      <w:bookmarkStart w:id="0" w:name="_GoBack"/>
      <w:bookmarkEnd w:id="0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КОЛА ЭКОНОМИКИ» </w:t>
      </w:r>
    </w:p>
    <w:p w14:paraId="1407B37A" w14:textId="3AF1A16A"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0F7A2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14:paraId="1407B37B" w14:textId="77777777"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C" w14:textId="77777777"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1407B37D" w14:textId="77777777"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E" w14:textId="62CA3CA4"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бакалавриата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 декабря 2012 г. № 273-ФЗ «Об образовании в Российской Федерации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Закон № 273-ФЗ), Порядка приема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2015 г. 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№ 1147.</w:t>
      </w:r>
    </w:p>
    <w:p w14:paraId="1407B37F" w14:textId="77777777" w:rsidR="009935B6" w:rsidRPr="00B14704" w:rsidRDefault="009935B6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, имеющих высшее или среднее профессиональное образование,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бакалавриата 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«Национальный исследовательский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Пермь), Санкт-Петербургский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НИУ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0" w14:textId="77777777" w:rsidR="00A10844" w:rsidRDefault="00A10844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бакалавриата по очно-заочной и </w:t>
      </w:r>
      <w:proofErr w:type="gram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14:paraId="1407B381" w14:textId="77777777"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бакалавриата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бакалавриата,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2" w14:textId="77777777"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по программам бакалавриата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3" w14:textId="77777777"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84" w14:textId="77777777"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Все вопросы, связанные с организацией работы по приему на обучение по программам бакалавриата 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настоящими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14:paraId="1407B385" w14:textId="77777777"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6" w14:textId="77777777"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бакалавриата </w:t>
      </w:r>
    </w:p>
    <w:p w14:paraId="1407B387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8" w14:textId="77777777"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осуществляется по следующим направлениям подготовки:</w:t>
      </w:r>
    </w:p>
    <w:p w14:paraId="1407B389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14:paraId="1407B38A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8B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8C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8D" w14:textId="77777777"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2FD3CB03" w14:textId="77777777" w:rsidR="007833CB" w:rsidRDefault="007833CB" w:rsidP="00783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45.03.02 Лингвистика</w:t>
      </w:r>
    </w:p>
    <w:p w14:paraId="1407B38E" w14:textId="77777777" w:rsidR="00301B7D" w:rsidRDefault="00301B7D" w:rsidP="001316A2">
      <w:pPr>
        <w:spacing w:after="0" w:line="16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07B38F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Нижний Новгород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485242C5" w14:textId="77777777" w:rsidR="005B5CBF" w:rsidRPr="00301B7D" w:rsidRDefault="005B5CBF" w:rsidP="005B5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09.03.04 Программная инженерия</w:t>
      </w:r>
    </w:p>
    <w:p w14:paraId="1407B390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1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2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3" w14:textId="77777777"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4" w14:textId="77777777" w:rsidR="00301B7D" w:rsidRPr="00301B7D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5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Пермь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6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09.03.04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B7D">
        <w:rPr>
          <w:rFonts w:ascii="Times New Roman" w:hAnsi="Times New Roman"/>
          <w:sz w:val="26"/>
          <w:szCs w:val="26"/>
        </w:rPr>
        <w:t xml:space="preserve">Программная инженерия </w:t>
      </w:r>
    </w:p>
    <w:p w14:paraId="1407B397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lastRenderedPageBreak/>
        <w:t>38.03.01 Экономика</w:t>
      </w:r>
    </w:p>
    <w:p w14:paraId="1407B398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9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A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B" w14:textId="77777777" w:rsidR="00301B7D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C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Санкт-Петербург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D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E" w14:textId="77777777"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F" w14:textId="77777777"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0" w14:textId="77777777"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14:paraId="1407B3A1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14:paraId="1407B3A2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14:paraId="1407B3A3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14:paraId="1407B3A4" w14:textId="77777777"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1407B3A5" w14:textId="2D737BF2" w:rsidR="000C0D81" w:rsidRPr="00B14704" w:rsidRDefault="000F7A2C" w:rsidP="0066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об образовании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или предусмотренными </w:t>
      </w:r>
      <w:hyperlink r:id="rId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3 статьи 21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</w:t>
      </w:r>
      <w:r w:rsidR="000C0D81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A6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14:paraId="1407B3A7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14:paraId="1407B3A8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14:paraId="1407B3A9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A" w14:textId="77777777"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</w:t>
      </w:r>
      <w:proofErr w:type="gram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B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14:paraId="1407B3AC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обучение по программам бакалавриата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Правилам. </w:t>
      </w:r>
    </w:p>
    <w:p w14:paraId="1407B3AD" w14:textId="77777777"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риложением 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AE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14:paraId="1407B3AF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10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11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 (далее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14:paraId="1407B3B0" w14:textId="77777777"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 </w:t>
      </w:r>
    </w:p>
    <w:p w14:paraId="1407B3B1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14:paraId="1407B3B2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14:paraId="1407B3B3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B4" w14:textId="77777777"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5" w14:textId="77777777"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14:paraId="1407B3B6" w14:textId="77777777"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К документам, выданным в соответствии с законодательством Украины и предоставляемым лицами, указанными в части 3.1 статьи 5 Федерального закона № 84-ФЗ, не предъявляются требования легализации и проставления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представления перевода на русский язык, заверенного в установленном порядке.</w:t>
      </w:r>
    </w:p>
    <w:p w14:paraId="1407B3B7" w14:textId="77777777"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8" w14:textId="556E04B2"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4312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14:paraId="1407B3B9" w14:textId="77777777"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14:paraId="1407B3BA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Правилам;</w:t>
      </w:r>
    </w:p>
    <w:p w14:paraId="1407B3BB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Правилам);</w:t>
      </w:r>
    </w:p>
    <w:p w14:paraId="1407B3BC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 их электронной подписью.</w:t>
      </w:r>
    </w:p>
    <w:p w14:paraId="1407B3BD" w14:textId="77777777"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E" w14:textId="77777777"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настоящими Правилами.</w:t>
      </w:r>
    </w:p>
    <w:p w14:paraId="1407B3BF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14:paraId="1407B3C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14:paraId="1407B3C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14:paraId="1407B3C2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3" w14:textId="77777777"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C85E36" w:rsidRPr="00C85E36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.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4" w14:textId="77777777" w:rsidR="00230534" w:rsidRDefault="00230534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534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на обучение в соответствии с особенностями, установленными в части 3.1 статьи 5 или статьи 6 Федерального закона № 84-ФЗ, – сведения о том, что поступающий относится к числу указанных лиц;</w:t>
      </w:r>
    </w:p>
    <w:p w14:paraId="1407B3C5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документе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</w:t>
      </w:r>
    </w:p>
    <w:p w14:paraId="1407B3C6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7" w14:textId="77777777"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14:paraId="1407B3C8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14:paraId="1407B3C9" w14:textId="77777777"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14:paraId="1407B3CA" w14:textId="77777777"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407B3CB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14:paraId="1407B3CC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14:paraId="1407B3CD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CE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F" w14:textId="77777777"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721F4B" w:rsidRPr="00B7182B">
        <w:rPr>
          <w:rFonts w:ascii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14:paraId="1407B3D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14:paraId="1407B3D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14:paraId="1407B3D2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14:paraId="1407B3D3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правилами внутреннего распорядка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14:paraId="1407B3D4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локальными нормативными актами НИУ ВШЭ, регламентирующими реализацию программ бакалавриата;</w:t>
      </w:r>
    </w:p>
    <w:p w14:paraId="1407B3D5" w14:textId="77777777"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6" w14:textId="77777777"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14:paraId="1407B3D7" w14:textId="77777777"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настоящих Правил (за исключением случая, когда указанное нарушение распространяется не на все условия поступления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14:paraId="1407B3D8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14:paraId="1407B3D9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DA" w14:textId="77777777"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</w:p>
    <w:p w14:paraId="1407B3DB" w14:textId="77777777"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14:paraId="1407B3DC" w14:textId="77777777"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</w:t>
      </w:r>
      <w:r w:rsidR="00A21C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оригиналы предъявляются лично.</w:t>
      </w:r>
    </w:p>
    <w:p w14:paraId="1407B3DD" w14:textId="77777777"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14:paraId="1407B3DE" w14:textId="77777777"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14:paraId="1407B3DF" w14:textId="77777777"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14:paraId="1407B3E0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1" w14:textId="77777777"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е по программам бакалавриата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14:paraId="1407B3E2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3" w14:textId="77777777"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для поступающих на программы бакалавриата в НИУ ВШЭ и филиалы НИУ ВШЭ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4 к настоящим Правилам.</w:t>
      </w:r>
    </w:p>
    <w:p w14:paraId="1407B3E4" w14:textId="77777777"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организации и  проведения вступительных испытаний при приеме на обучение по программам бакалавриата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407B3E5" w14:textId="77777777"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6" w14:textId="77777777"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7" w14:textId="77777777"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8" w14:textId="77777777" w:rsidR="00910DE8" w:rsidRPr="008D0F34" w:rsidRDefault="0082058A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9" w14:textId="77777777" w:rsidR="00AC3871" w:rsidRPr="00B14704" w:rsidRDefault="00AC387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14:paraId="1407B3EA" w14:textId="77777777"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14:paraId="1407B3EB" w14:textId="77777777"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C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14:paraId="1407B3ED" w14:textId="77777777"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14:paraId="1407B3EE" w14:textId="77777777"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F" w14:textId="77777777"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14:paraId="1407B3F0" w14:textId="77777777"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1" w14:textId="77777777"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</w:p>
    <w:p w14:paraId="1407B3F2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3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F4" w14:textId="77777777"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14:paraId="1407B3F5" w14:textId="77777777"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14:paraId="1407B3F6" w14:textId="77777777"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3, 4 к настоящим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7" w14:textId="77777777"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14:paraId="1407B3F8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9" w14:textId="77777777"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14:paraId="1407B3FA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B" w14:textId="77777777"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C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1407B3FD" w14:textId="77777777" w:rsidR="00387CD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1407B3FE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14:paraId="1407B3FF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14:paraId="1407B400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правильность оценивания результатов вступительного испытания.</w:t>
      </w:r>
    </w:p>
    <w:p w14:paraId="1407B401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14:paraId="1407B402" w14:textId="77777777"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14:paraId="1407B403" w14:textId="77777777"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4" w14:textId="77777777"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14:paraId="1407B405" w14:textId="77777777"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6" w14:textId="77777777"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е по программам бакалавриата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407" w14:textId="77777777"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8" w14:textId="77777777"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9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A" w14:textId="77777777"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программе бакалавриата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14:paraId="1407B40B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C" w14:textId="77777777"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D" w14:textId="77777777"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47A5F" w14:textId="77777777" w:rsidR="002868F2" w:rsidRDefault="002868F2" w:rsidP="009935B6">
      <w:pPr>
        <w:spacing w:after="0" w:line="240" w:lineRule="auto"/>
      </w:pPr>
      <w:r>
        <w:separator/>
      </w:r>
    </w:p>
  </w:endnote>
  <w:endnote w:type="continuationSeparator" w:id="0">
    <w:p w14:paraId="1A8E21C0" w14:textId="77777777" w:rsidR="002868F2" w:rsidRDefault="002868F2" w:rsidP="009935B6">
      <w:pPr>
        <w:spacing w:after="0" w:line="240" w:lineRule="auto"/>
      </w:pPr>
      <w:r>
        <w:continuationSeparator/>
      </w:r>
    </w:p>
  </w:endnote>
  <w:endnote w:type="continuationNotice" w:id="1">
    <w:p w14:paraId="0A9B0385" w14:textId="77777777" w:rsidR="002868F2" w:rsidRDefault="00286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9F078" w14:textId="77777777" w:rsidR="002868F2" w:rsidRDefault="002868F2" w:rsidP="009935B6">
      <w:pPr>
        <w:spacing w:after="0" w:line="240" w:lineRule="auto"/>
      </w:pPr>
      <w:r>
        <w:separator/>
      </w:r>
    </w:p>
  </w:footnote>
  <w:footnote w:type="continuationSeparator" w:id="0">
    <w:p w14:paraId="52FEE8CD" w14:textId="77777777" w:rsidR="002868F2" w:rsidRDefault="002868F2" w:rsidP="009935B6">
      <w:pPr>
        <w:spacing w:after="0" w:line="240" w:lineRule="auto"/>
      </w:pPr>
      <w:r>
        <w:continuationSeparator/>
      </w:r>
    </w:p>
  </w:footnote>
  <w:footnote w:type="continuationNotice" w:id="1">
    <w:p w14:paraId="684C5AF8" w14:textId="77777777" w:rsidR="002868F2" w:rsidRDefault="002868F2">
      <w:pPr>
        <w:spacing w:after="0" w:line="240" w:lineRule="auto"/>
      </w:pPr>
    </w:p>
  </w:footnote>
  <w:footnote w:id="2">
    <w:p w14:paraId="1407B419" w14:textId="77777777"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Здесь и далее - срок начала учебного года по программам бакалавриата</w:t>
      </w:r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4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07B415" w14:textId="77777777"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6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704B">
      <w:rPr>
        <w:rStyle w:val="a8"/>
        <w:noProof/>
      </w:rPr>
      <w:t>2</w:t>
    </w:r>
    <w:r>
      <w:rPr>
        <w:rStyle w:val="a8"/>
      </w:rPr>
      <w:fldChar w:fldCharType="end"/>
    </w:r>
  </w:p>
  <w:p w14:paraId="1407B417" w14:textId="77777777" w:rsidR="00CD0640" w:rsidRPr="00D7477D" w:rsidRDefault="00CD0640">
    <w:pPr>
      <w:pStyle w:val="afc"/>
      <w:jc w:val="center"/>
      <w:rPr>
        <w:lang w:val="ru-RU"/>
      </w:rPr>
    </w:pPr>
  </w:p>
  <w:p w14:paraId="1407B418" w14:textId="77777777"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8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5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1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7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2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4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5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5"/>
  </w:num>
  <w:num w:numId="4">
    <w:abstractNumId w:val="52"/>
  </w:num>
  <w:num w:numId="5">
    <w:abstractNumId w:val="45"/>
  </w:num>
  <w:num w:numId="6">
    <w:abstractNumId w:val="44"/>
  </w:num>
  <w:num w:numId="7">
    <w:abstractNumId w:val="56"/>
  </w:num>
  <w:num w:numId="8">
    <w:abstractNumId w:val="4"/>
  </w:num>
  <w:num w:numId="9">
    <w:abstractNumId w:val="33"/>
  </w:num>
  <w:num w:numId="10">
    <w:abstractNumId w:val="46"/>
  </w:num>
  <w:num w:numId="11">
    <w:abstractNumId w:val="38"/>
  </w:num>
  <w:num w:numId="12">
    <w:abstractNumId w:val="0"/>
  </w:num>
  <w:num w:numId="13">
    <w:abstractNumId w:val="5"/>
  </w:num>
  <w:num w:numId="14">
    <w:abstractNumId w:val="55"/>
  </w:num>
  <w:num w:numId="15">
    <w:abstractNumId w:val="42"/>
  </w:num>
  <w:num w:numId="16">
    <w:abstractNumId w:val="62"/>
  </w:num>
  <w:num w:numId="17">
    <w:abstractNumId w:val="13"/>
  </w:num>
  <w:num w:numId="18">
    <w:abstractNumId w:val="54"/>
  </w:num>
  <w:num w:numId="19">
    <w:abstractNumId w:val="48"/>
  </w:num>
  <w:num w:numId="20">
    <w:abstractNumId w:val="6"/>
  </w:num>
  <w:num w:numId="21">
    <w:abstractNumId w:val="27"/>
  </w:num>
  <w:num w:numId="22">
    <w:abstractNumId w:val="40"/>
  </w:num>
  <w:num w:numId="23">
    <w:abstractNumId w:val="47"/>
  </w:num>
  <w:num w:numId="24">
    <w:abstractNumId w:val="50"/>
  </w:num>
  <w:num w:numId="25">
    <w:abstractNumId w:val="26"/>
  </w:num>
  <w:num w:numId="26">
    <w:abstractNumId w:val="25"/>
  </w:num>
  <w:num w:numId="27">
    <w:abstractNumId w:val="39"/>
  </w:num>
  <w:num w:numId="28">
    <w:abstractNumId w:val="53"/>
  </w:num>
  <w:num w:numId="29">
    <w:abstractNumId w:val="22"/>
  </w:num>
  <w:num w:numId="30">
    <w:abstractNumId w:val="64"/>
  </w:num>
  <w:num w:numId="31">
    <w:abstractNumId w:val="17"/>
  </w:num>
  <w:num w:numId="32">
    <w:abstractNumId w:val="20"/>
  </w:num>
  <w:num w:numId="33">
    <w:abstractNumId w:val="43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3"/>
  </w:num>
  <w:num w:numId="42">
    <w:abstractNumId w:val="9"/>
  </w:num>
  <w:num w:numId="43">
    <w:abstractNumId w:val="60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5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51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7"/>
  </w:num>
  <w:num w:numId="61">
    <w:abstractNumId w:val="61"/>
  </w:num>
  <w:num w:numId="62">
    <w:abstractNumId w:val="57"/>
  </w:num>
  <w:num w:numId="63">
    <w:abstractNumId w:val="59"/>
  </w:num>
  <w:num w:numId="64">
    <w:abstractNumId w:val="58"/>
  </w:num>
  <w:num w:numId="65">
    <w:abstractNumId w:val="36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6BB2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0F7A2C"/>
    <w:rsid w:val="00111391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16A2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6624"/>
    <w:rsid w:val="001D710E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0534"/>
    <w:rsid w:val="00231512"/>
    <w:rsid w:val="00232061"/>
    <w:rsid w:val="002322F7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0449"/>
    <w:rsid w:val="00271823"/>
    <w:rsid w:val="00273680"/>
    <w:rsid w:val="0028080A"/>
    <w:rsid w:val="00280AB3"/>
    <w:rsid w:val="0028183F"/>
    <w:rsid w:val="00282345"/>
    <w:rsid w:val="00285B12"/>
    <w:rsid w:val="002864E6"/>
    <w:rsid w:val="002868F2"/>
    <w:rsid w:val="002938ED"/>
    <w:rsid w:val="002969C9"/>
    <w:rsid w:val="002A00D4"/>
    <w:rsid w:val="002A1787"/>
    <w:rsid w:val="002A1A63"/>
    <w:rsid w:val="002A1DCC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257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2A56"/>
    <w:rsid w:val="004D3979"/>
    <w:rsid w:val="004D40F1"/>
    <w:rsid w:val="004D4183"/>
    <w:rsid w:val="004D42B3"/>
    <w:rsid w:val="004D5629"/>
    <w:rsid w:val="004D5BBD"/>
    <w:rsid w:val="004D779E"/>
    <w:rsid w:val="004D7908"/>
    <w:rsid w:val="004E1250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100"/>
    <w:rsid w:val="005B5290"/>
    <w:rsid w:val="005B5CBF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1B8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677C4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1F4E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06FE0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3CB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602A"/>
    <w:rsid w:val="007D7172"/>
    <w:rsid w:val="007E072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357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8AA"/>
    <w:rsid w:val="00991E94"/>
    <w:rsid w:val="009935B6"/>
    <w:rsid w:val="00993991"/>
    <w:rsid w:val="009A1E35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1C83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887"/>
    <w:rsid w:val="00AF4F10"/>
    <w:rsid w:val="00AF5985"/>
    <w:rsid w:val="00AF5CD9"/>
    <w:rsid w:val="00AF6C58"/>
    <w:rsid w:val="00B01B8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2D70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629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9704B"/>
    <w:rsid w:val="00CA281C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0F2A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5558"/>
    <w:rsid w:val="00EC6808"/>
    <w:rsid w:val="00EC7963"/>
    <w:rsid w:val="00ED0BD2"/>
    <w:rsid w:val="00ED30C9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4F91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7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E314F0E44CED25ECF7F188B620BB0664520388F59F37CE43FCC98D3QBn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CE314F0E44CED25ECF7F188B620BB0664A2B388859F37CE43FCC98D3QBn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6A3503E06A6A2F7AE5EDB9D86BF47A438602B6FC3F95B4016C4A6878B8DDB0AAC776D5F8BDD32J0d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59266A-4EB8-4152-A7BA-5B46DE7C9E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27174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Алексеева Лариса Николаевна</cp:lastModifiedBy>
  <cp:revision>6</cp:revision>
  <cp:lastPrinted>2018-09-27T09:26:00Z</cp:lastPrinted>
  <dcterms:created xsi:type="dcterms:W3CDTF">2018-09-28T13:11:00Z</dcterms:created>
  <dcterms:modified xsi:type="dcterms:W3CDTF">2019-01-14T07:13:00Z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Методический отдел</vt:lpwstr>
  </property>
  <property fmtid="{D5CDD505-2E9C-101B-9397-08002B2CF9AE}" pid="7" name="regnumProj">
    <vt:lpwstr>М 2018/9/28-571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_x000d_
по образовательным программам высшего образован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Рощина И.Е.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