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32" w:rsidRPr="00DC5C32" w:rsidRDefault="00DC5C32" w:rsidP="00DC5C32">
      <w:pPr>
        <w:spacing w:before="100" w:beforeAutospacing="1" w:after="100" w:afterAutospacing="1"/>
        <w:contextualSpacing/>
        <w:jc w:val="left"/>
        <w:rPr>
          <w:rFonts w:eastAsia="Times New Roman" w:cs="Times New Roman"/>
          <w:b/>
          <w:sz w:val="28"/>
          <w:szCs w:val="28"/>
        </w:rPr>
      </w:pPr>
      <w:r w:rsidRPr="00DC5C32">
        <w:rPr>
          <w:rFonts w:cs="Times New Roman"/>
          <w:b/>
          <w:sz w:val="28"/>
          <w:szCs w:val="28"/>
        </w:rPr>
        <w:t xml:space="preserve">семинар  </w:t>
      </w:r>
      <w:r w:rsidRPr="00DC5C32">
        <w:rPr>
          <w:rFonts w:eastAsia="Times New Roman" w:cs="Times New Roman"/>
          <w:b/>
          <w:sz w:val="28"/>
          <w:szCs w:val="28"/>
        </w:rPr>
        <w:t xml:space="preserve">19 </w:t>
      </w:r>
      <w:r w:rsidRPr="00DC5C32">
        <w:rPr>
          <w:rFonts w:eastAsia="Times New Roman" w:cs="Times New Roman"/>
          <w:b/>
          <w:sz w:val="28"/>
          <w:szCs w:val="28"/>
        </w:rPr>
        <w:t xml:space="preserve">октября </w:t>
      </w:r>
      <w:bookmarkStart w:id="0" w:name="_GoBack"/>
      <w:bookmarkEnd w:id="0"/>
    </w:p>
    <w:p w:rsidR="00376212" w:rsidRDefault="00376212" w:rsidP="00DC5C32">
      <w:pPr>
        <w:spacing w:line="360" w:lineRule="auto"/>
        <w:rPr>
          <w:b/>
          <w:sz w:val="28"/>
          <w:szCs w:val="28"/>
        </w:rPr>
      </w:pPr>
    </w:p>
    <w:p w:rsidR="00376212" w:rsidRDefault="00376212" w:rsidP="00DC5C3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Е.А. Смирнова </w:t>
      </w:r>
    </w:p>
    <w:p w:rsidR="00376212" w:rsidRPr="00376212" w:rsidRDefault="00376212" w:rsidP="00376212">
      <w:pPr>
        <w:spacing w:line="360" w:lineRule="auto"/>
        <w:jc w:val="center"/>
        <w:rPr>
          <w:b/>
          <w:sz w:val="28"/>
          <w:szCs w:val="28"/>
        </w:rPr>
      </w:pPr>
      <w:r w:rsidRPr="00376212">
        <w:rPr>
          <w:b/>
          <w:sz w:val="28"/>
          <w:szCs w:val="28"/>
        </w:rPr>
        <w:t>Атрибуты научного стиля в предметных исследовательских</w:t>
      </w:r>
      <w:r>
        <w:rPr>
          <w:b/>
          <w:sz w:val="28"/>
          <w:szCs w:val="28"/>
        </w:rPr>
        <w:t xml:space="preserve"> корпусах: сравнительный анализ</w:t>
      </w:r>
    </w:p>
    <w:p w:rsidR="00376212" w:rsidRDefault="00376212" w:rsidP="008178D3">
      <w:pPr>
        <w:spacing w:line="360" w:lineRule="auto"/>
        <w:jc w:val="center"/>
        <w:rPr>
          <w:b/>
          <w:sz w:val="28"/>
          <w:szCs w:val="28"/>
        </w:rPr>
      </w:pPr>
    </w:p>
    <w:p w:rsidR="008178D3" w:rsidRPr="008178D3" w:rsidRDefault="008178D3" w:rsidP="008178D3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8178D3">
        <w:rPr>
          <w:b/>
          <w:sz w:val="28"/>
          <w:szCs w:val="28"/>
          <w:lang w:val="en-US"/>
        </w:rPr>
        <w:t>Markers of an Academic Text: a Multidimensional Analysis</w:t>
      </w:r>
    </w:p>
    <w:p w:rsidR="0053256B" w:rsidRDefault="0053256B" w:rsidP="0053256B">
      <w:pPr>
        <w:spacing w:line="360" w:lineRule="auto"/>
        <w:rPr>
          <w:sz w:val="28"/>
          <w:szCs w:val="28"/>
          <w:lang w:val="en-US"/>
        </w:rPr>
      </w:pPr>
    </w:p>
    <w:p w:rsidR="006D7726" w:rsidRPr="0053256B" w:rsidRDefault="00FF4EBD" w:rsidP="0053256B">
      <w:pPr>
        <w:spacing w:line="360" w:lineRule="auto"/>
        <w:rPr>
          <w:sz w:val="28"/>
          <w:szCs w:val="28"/>
          <w:lang w:val="en-US"/>
        </w:rPr>
      </w:pPr>
      <w:r w:rsidRPr="0053256B">
        <w:rPr>
          <w:sz w:val="28"/>
          <w:szCs w:val="28"/>
          <w:lang w:val="en-US"/>
        </w:rPr>
        <w:t>The use of markers was compared across two dimensions</w:t>
      </w:r>
      <w:r w:rsidR="006D7726" w:rsidRPr="0053256B">
        <w:rPr>
          <w:sz w:val="28"/>
          <w:szCs w:val="28"/>
          <w:lang w:val="en-US"/>
        </w:rPr>
        <w:t>:</w:t>
      </w:r>
    </w:p>
    <w:p w:rsidR="006D7726" w:rsidRPr="0053256B" w:rsidRDefault="006D7726" w:rsidP="0053256B">
      <w:pPr>
        <w:spacing w:line="360" w:lineRule="auto"/>
        <w:rPr>
          <w:sz w:val="28"/>
          <w:szCs w:val="28"/>
          <w:lang w:val="en-US"/>
        </w:rPr>
      </w:pPr>
      <w:proofErr w:type="gramStart"/>
      <w:r w:rsidRPr="0053256B">
        <w:rPr>
          <w:sz w:val="28"/>
          <w:szCs w:val="28"/>
          <w:lang w:val="en-US"/>
        </w:rPr>
        <w:t>across</w:t>
      </w:r>
      <w:proofErr w:type="gramEnd"/>
      <w:r w:rsidRPr="0053256B">
        <w:rPr>
          <w:sz w:val="28"/>
          <w:szCs w:val="28"/>
          <w:lang w:val="en-US"/>
        </w:rPr>
        <w:t xml:space="preserve"> </w:t>
      </w:r>
      <w:r w:rsidR="006E3AF9" w:rsidRPr="0053256B">
        <w:rPr>
          <w:sz w:val="28"/>
          <w:szCs w:val="28"/>
          <w:lang w:val="en-US"/>
        </w:rPr>
        <w:t xml:space="preserve">the four </w:t>
      </w:r>
      <w:r w:rsidRPr="0053256B">
        <w:rPr>
          <w:sz w:val="28"/>
          <w:szCs w:val="28"/>
          <w:lang w:val="en-US"/>
        </w:rPr>
        <w:t>disciplines</w:t>
      </w:r>
    </w:p>
    <w:p w:rsidR="006D7726" w:rsidRPr="00DC5C32" w:rsidRDefault="006D7726" w:rsidP="0053256B">
      <w:pPr>
        <w:spacing w:line="360" w:lineRule="auto"/>
        <w:rPr>
          <w:sz w:val="28"/>
          <w:szCs w:val="28"/>
          <w:lang w:val="en-US"/>
        </w:rPr>
      </w:pPr>
      <w:proofErr w:type="gramStart"/>
      <w:r w:rsidRPr="0053256B">
        <w:rPr>
          <w:sz w:val="28"/>
          <w:szCs w:val="28"/>
          <w:lang w:val="en-US"/>
        </w:rPr>
        <w:t>across</w:t>
      </w:r>
      <w:proofErr w:type="gramEnd"/>
      <w:r w:rsidRPr="0053256B">
        <w:rPr>
          <w:sz w:val="28"/>
          <w:szCs w:val="28"/>
          <w:lang w:val="en-US"/>
        </w:rPr>
        <w:t xml:space="preserve"> the two corpora</w:t>
      </w:r>
    </w:p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2100"/>
        <w:gridCol w:w="1250"/>
        <w:gridCol w:w="1250"/>
        <w:gridCol w:w="1250"/>
        <w:gridCol w:w="1250"/>
        <w:gridCol w:w="1250"/>
        <w:gridCol w:w="1250"/>
        <w:gridCol w:w="1250"/>
        <w:gridCol w:w="1250"/>
      </w:tblGrid>
      <w:tr w:rsidR="00376212" w:rsidRPr="008830DA" w:rsidTr="002C1D2C">
        <w:trPr>
          <w:trHeight w:val="30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376212" w:rsidRPr="008830DA" w:rsidRDefault="00376212" w:rsidP="002C1D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b/>
                <w:bCs/>
                <w:color w:val="000000"/>
              </w:rPr>
              <w:t>Маркер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76212" w:rsidRPr="008830DA" w:rsidRDefault="00376212" w:rsidP="002C1D2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8830DA">
              <w:rPr>
                <w:rFonts w:ascii="Calibri" w:eastAsia="Times New Roman" w:hAnsi="Calibri" w:cs="Times New Roman"/>
                <w:b/>
                <w:bCs/>
              </w:rPr>
              <w:t>Competent</w:t>
            </w:r>
            <w:proofErr w:type="spellEnd"/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376212" w:rsidRPr="008830DA" w:rsidRDefault="00376212" w:rsidP="002C1D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830DA">
              <w:rPr>
                <w:rFonts w:ascii="Calibri" w:eastAsia="Times New Roman" w:hAnsi="Calibri" w:cs="Times New Roman"/>
                <w:b/>
                <w:bCs/>
                <w:color w:val="000000"/>
              </w:rPr>
              <w:t>Learners</w:t>
            </w:r>
            <w:proofErr w:type="spellEnd"/>
          </w:p>
        </w:tc>
      </w:tr>
      <w:tr w:rsidR="00376212" w:rsidRPr="008830DA" w:rsidTr="002C1D2C">
        <w:trPr>
          <w:trHeight w:val="30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2" w:rsidRPr="008830DA" w:rsidRDefault="00376212" w:rsidP="002C1D2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8830DA">
              <w:rPr>
                <w:rFonts w:ascii="Calibri" w:eastAsia="Times New Roman" w:hAnsi="Calibri" w:cs="Times New Roman"/>
                <w:b/>
                <w:bCs/>
              </w:rPr>
              <w:t>BI_PE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8830DA">
              <w:rPr>
                <w:rFonts w:ascii="Calibri" w:eastAsia="Times New Roman" w:hAnsi="Calibri" w:cs="Times New Roman"/>
                <w:b/>
                <w:bCs/>
              </w:rPr>
              <w:t>Law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8830DA">
              <w:rPr>
                <w:rFonts w:ascii="Calibri" w:eastAsia="Times New Roman" w:hAnsi="Calibri" w:cs="Times New Roman"/>
                <w:b/>
                <w:bCs/>
              </w:rPr>
              <w:t>Politology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8830DA">
              <w:rPr>
                <w:rFonts w:ascii="Calibri" w:eastAsia="Times New Roman" w:hAnsi="Calibri" w:cs="Times New Roman"/>
                <w:b/>
                <w:bCs/>
              </w:rPr>
              <w:t>History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b/>
                <w:bCs/>
                <w:color w:val="000000"/>
              </w:rPr>
              <w:t>BI_PE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830DA">
              <w:rPr>
                <w:rFonts w:ascii="Calibri" w:eastAsia="Times New Roman" w:hAnsi="Calibri" w:cs="Times New Roman"/>
                <w:b/>
                <w:bCs/>
                <w:color w:val="000000"/>
              </w:rPr>
              <w:t>Law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830DA">
              <w:rPr>
                <w:rFonts w:ascii="Calibri" w:eastAsia="Times New Roman" w:hAnsi="Calibri" w:cs="Times New Roman"/>
                <w:b/>
                <w:bCs/>
                <w:color w:val="000000"/>
              </w:rPr>
              <w:t>Politology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830DA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</w:t>
            </w:r>
            <w:proofErr w:type="spellEnd"/>
          </w:p>
        </w:tc>
      </w:tr>
      <w:tr w:rsidR="00376212" w:rsidRPr="008830DA" w:rsidTr="002C1D2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Abstract</w:t>
            </w:r>
            <w:proofErr w:type="spellEnd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semantic</w:t>
            </w:r>
            <w:proofErr w:type="spellEnd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0,0413600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0,0598570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0,0616600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0,0571200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0,0756800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0,0678800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0,0878500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0,0849000</w:t>
            </w:r>
          </w:p>
        </w:tc>
      </w:tr>
      <w:tr w:rsidR="00376212" w:rsidRPr="008830DA" w:rsidTr="002C1D2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Archaisms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0,0000482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0,0002980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0,0000781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0,0001300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0,0002600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0,0000590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0,0001000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0,0001400</w:t>
            </w:r>
          </w:p>
        </w:tc>
      </w:tr>
      <w:tr w:rsidR="00376212" w:rsidRPr="008830DA" w:rsidTr="002C1D2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Complex</w:t>
            </w:r>
            <w:proofErr w:type="spellEnd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conjunctions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0,0045300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0,0093330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0,0151900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0,0130000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0,0056800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0,0065900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0,0076000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0,0090500</w:t>
            </w:r>
          </w:p>
        </w:tc>
      </w:tr>
      <w:tr w:rsidR="00376212" w:rsidRPr="008830DA" w:rsidTr="002C1D2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Desemantisized</w:t>
            </w:r>
            <w:proofErr w:type="spellEnd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0,0281000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0,0468330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0,0449400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0,0446700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0,0504200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0,0427600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0,0631000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0,0615700</w:t>
            </w:r>
          </w:p>
        </w:tc>
      </w:tr>
      <w:tr w:rsidR="00376212" w:rsidRPr="008830DA" w:rsidTr="002C1D2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Future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0,0013600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0,0035360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0,0028100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0,0015700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0,0193700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0,0080000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0,0150500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0,0072900</w:t>
            </w:r>
          </w:p>
        </w:tc>
      </w:tr>
      <w:tr w:rsidR="00376212" w:rsidRPr="008830DA" w:rsidTr="002C1D2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IPronoun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0,0003500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0,0069290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0,0029400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0,0057300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0,0013700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0,0016500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0,0031500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0,0063800</w:t>
            </w:r>
          </w:p>
        </w:tc>
      </w:tr>
      <w:tr w:rsidR="00376212" w:rsidRPr="008830DA" w:rsidTr="002C1D2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Intensifying</w:t>
            </w:r>
            <w:proofErr w:type="spellEnd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adverbs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0,0017000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0,0020000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0,0024100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0,0016300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0,0013700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0,0010000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0,0017500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0,0021000</w:t>
            </w:r>
          </w:p>
        </w:tc>
      </w:tr>
      <w:tr w:rsidR="00376212" w:rsidRPr="008830DA" w:rsidTr="002C1D2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Logic</w:t>
            </w:r>
            <w:proofErr w:type="spellEnd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connectors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0,0044900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0,0073690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0,0067000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0,0045500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0,0053700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0,0064100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0,0090000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0,0083300</w:t>
            </w:r>
          </w:p>
        </w:tc>
      </w:tr>
      <w:tr w:rsidR="00376212" w:rsidRPr="008830DA" w:rsidTr="002C1D2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Noun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0,4833490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0,5782140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0,7663100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0,6827200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0,7650000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0,7614700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0,9343000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0,9566200</w:t>
            </w:r>
          </w:p>
        </w:tc>
      </w:tr>
      <w:tr w:rsidR="00376212" w:rsidRPr="008830DA" w:rsidTr="002C1D2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OrSuffix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0,0042200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0,0041310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0,0055000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0,0043300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0,0063700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0,1024000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0,0114000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0,0101400</w:t>
            </w:r>
          </w:p>
        </w:tc>
      </w:tr>
      <w:tr w:rsidR="00376212" w:rsidRPr="008830DA" w:rsidTr="002C1D2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PassiveVoice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0,0243400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0,0195710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0,0215600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0,0246700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0,0501100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0,0283500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0,0396500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0,0361400</w:t>
            </w:r>
          </w:p>
        </w:tc>
      </w:tr>
      <w:tr w:rsidR="00376212" w:rsidRPr="008830DA" w:rsidTr="002C1D2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Past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0,0200200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0,0272020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0,0445200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0,0981000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0,0181100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0,0164700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0,0275500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0,0563300</w:t>
            </w:r>
          </w:p>
        </w:tc>
      </w:tr>
      <w:tr w:rsidR="00376212" w:rsidRPr="008830DA" w:rsidTr="002C1D2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PersonalPronoun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0,0185800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0,0430120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0,0331300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0,0625200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0,0225300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0,0339400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0,0393500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0,0486700</w:t>
            </w:r>
          </w:p>
        </w:tc>
      </w:tr>
      <w:tr w:rsidR="00376212" w:rsidRPr="008830DA" w:rsidTr="002C1D2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Prepositive</w:t>
            </w:r>
            <w:proofErr w:type="spellEnd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attributes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0,2237100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0,2431790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0,3351100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0,2831500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0,3374200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0,3091200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0,3740000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0,3597100</w:t>
            </w:r>
          </w:p>
        </w:tc>
      </w:tr>
      <w:tr w:rsidR="00376212" w:rsidRPr="008830DA" w:rsidTr="002C1D2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Postpositive</w:t>
            </w:r>
            <w:proofErr w:type="spellEnd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attributes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0,0955400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0,1311670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0,1591600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0,1343000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0,1427400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0,1820000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0,2084500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0,2045700</w:t>
            </w:r>
          </w:p>
        </w:tc>
      </w:tr>
      <w:tr w:rsidR="00376212" w:rsidRPr="008830DA" w:rsidTr="002C1D2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Present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0,0799900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0,1035600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0,0956100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0,0550700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0,1242600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0,1135900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0,1413500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0,1261000</w:t>
            </w:r>
          </w:p>
        </w:tc>
      </w:tr>
      <w:tr w:rsidR="00376212" w:rsidRPr="008830DA" w:rsidTr="002C1D2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ThatThose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0,0002200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0,0005240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0,0003400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0,0006300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0,0000500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0,0001000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0,0001400</w:t>
            </w:r>
          </w:p>
        </w:tc>
      </w:tr>
      <w:tr w:rsidR="00376212" w:rsidRPr="008830DA" w:rsidTr="002C1D2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WePronoun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0,0108600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0,0095600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0,0106300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0,0055500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0,0057900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0,1735000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0,0155500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0,0105700</w:t>
            </w:r>
          </w:p>
        </w:tc>
      </w:tr>
      <w:tr w:rsidR="00376212" w:rsidRPr="008830DA" w:rsidTr="002C1D2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76212" w:rsidRPr="008830DA" w:rsidRDefault="00376212" w:rsidP="002C1D2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0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YouHeShe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0,0001100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0,0002380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0,0002800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</w:rPr>
            </w:pPr>
            <w:r w:rsidRPr="008830DA">
              <w:rPr>
                <w:rFonts w:ascii="Calibri" w:eastAsia="Times New Roman" w:hAnsi="Calibri" w:cs="Times New Roman"/>
              </w:rPr>
              <w:t>0,0003200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0,0007400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0,0010000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0,0012000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76212" w:rsidRPr="008830DA" w:rsidRDefault="00376212" w:rsidP="002C1D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0DA">
              <w:rPr>
                <w:rFonts w:ascii="Calibri" w:eastAsia="Times New Roman" w:hAnsi="Calibri" w:cs="Times New Roman"/>
                <w:color w:val="000000"/>
              </w:rPr>
              <w:t>0,0012900</w:t>
            </w:r>
          </w:p>
        </w:tc>
      </w:tr>
    </w:tbl>
    <w:p w:rsidR="00376212" w:rsidRPr="00376212" w:rsidRDefault="00376212" w:rsidP="0053256B">
      <w:pPr>
        <w:spacing w:line="360" w:lineRule="auto"/>
        <w:rPr>
          <w:sz w:val="28"/>
          <w:szCs w:val="28"/>
        </w:rPr>
      </w:pPr>
    </w:p>
    <w:p w:rsidR="006E3AF9" w:rsidRPr="0053256B" w:rsidRDefault="006D7726" w:rsidP="0053256B">
      <w:pPr>
        <w:spacing w:line="360" w:lineRule="auto"/>
        <w:rPr>
          <w:sz w:val="28"/>
          <w:szCs w:val="28"/>
          <w:lang w:val="en-US"/>
        </w:rPr>
      </w:pPr>
      <w:r w:rsidRPr="0053256B">
        <w:rPr>
          <w:sz w:val="28"/>
          <w:szCs w:val="28"/>
          <w:lang w:val="en-US"/>
        </w:rPr>
        <w:t xml:space="preserve">1) </w:t>
      </w:r>
      <w:r w:rsidR="006E3AF9" w:rsidRPr="0053256B">
        <w:rPr>
          <w:b/>
          <w:sz w:val="28"/>
          <w:szCs w:val="28"/>
          <w:lang w:val="en-US"/>
        </w:rPr>
        <w:t>Abstract semantic verbs</w:t>
      </w:r>
      <w:r w:rsidR="006E3AF9" w:rsidRPr="0053256B">
        <w:rPr>
          <w:sz w:val="28"/>
          <w:szCs w:val="28"/>
          <w:lang w:val="en-US"/>
        </w:rPr>
        <w:t xml:space="preserve">’ pattern of use is roughly the same across the four disciplines with a little higher frequency in Law competent writing.  Overall, learners tend to use abstract semantic verbs a little more often that professional writers do. </w:t>
      </w:r>
    </w:p>
    <w:p w:rsidR="007652AC" w:rsidRPr="0053256B" w:rsidRDefault="006E3AF9" w:rsidP="0053256B">
      <w:pPr>
        <w:spacing w:line="360" w:lineRule="auto"/>
        <w:rPr>
          <w:sz w:val="28"/>
          <w:szCs w:val="28"/>
          <w:lang w:val="en-US"/>
        </w:rPr>
      </w:pPr>
      <w:r w:rsidRPr="0053256B">
        <w:rPr>
          <w:sz w:val="28"/>
          <w:szCs w:val="28"/>
          <w:lang w:val="en-US"/>
        </w:rPr>
        <w:t xml:space="preserve">2) The use of </w:t>
      </w:r>
      <w:r w:rsidRPr="0053256B">
        <w:rPr>
          <w:b/>
          <w:sz w:val="28"/>
          <w:szCs w:val="28"/>
          <w:lang w:val="en-US"/>
        </w:rPr>
        <w:t>archaisms</w:t>
      </w:r>
      <w:r w:rsidRPr="0053256B">
        <w:rPr>
          <w:sz w:val="28"/>
          <w:szCs w:val="28"/>
          <w:lang w:val="en-US"/>
        </w:rPr>
        <w:t xml:space="preserve"> varies a lot across the disciplines, with 0.00023 and 0.00016 in the professional law corpus and students’ BI-PE corpus respectively and 9.01 and 7.18 in the professional history corpus and learner history corpus respectively. The patterns of use are quite different across professional writing and students’ writing wi</w:t>
      </w:r>
      <w:r w:rsidR="00756F1E" w:rsidRPr="0053256B">
        <w:rPr>
          <w:sz w:val="28"/>
          <w:szCs w:val="28"/>
          <w:lang w:val="en-US"/>
        </w:rPr>
        <w:t>th the most dramatic difference</w:t>
      </w:r>
      <w:r w:rsidRPr="0053256B">
        <w:rPr>
          <w:sz w:val="28"/>
          <w:szCs w:val="28"/>
          <w:lang w:val="en-US"/>
        </w:rPr>
        <w:t xml:space="preserve"> observed in</w:t>
      </w:r>
      <w:r w:rsidR="00756F1E" w:rsidRPr="0053256B">
        <w:rPr>
          <w:sz w:val="28"/>
          <w:szCs w:val="28"/>
          <w:lang w:val="en-US"/>
        </w:rPr>
        <w:t xml:space="preserve"> BI-PE where experts use archaisms at the level of 4.62 and learners – at the level of 0.00016.</w:t>
      </w:r>
      <w:r w:rsidRPr="0053256B">
        <w:rPr>
          <w:sz w:val="28"/>
          <w:szCs w:val="28"/>
          <w:lang w:val="en-US"/>
        </w:rPr>
        <w:t xml:space="preserve">   </w:t>
      </w:r>
      <w:r w:rsidR="00FF4EBD" w:rsidRPr="0053256B">
        <w:rPr>
          <w:sz w:val="28"/>
          <w:szCs w:val="28"/>
          <w:lang w:val="en-US"/>
        </w:rPr>
        <w:t xml:space="preserve"> </w:t>
      </w:r>
    </w:p>
    <w:p w:rsidR="00756F1E" w:rsidRPr="0053256B" w:rsidRDefault="00756F1E" w:rsidP="0053256B">
      <w:pPr>
        <w:spacing w:line="360" w:lineRule="auto"/>
        <w:rPr>
          <w:sz w:val="28"/>
          <w:szCs w:val="28"/>
          <w:lang w:val="en-US"/>
        </w:rPr>
      </w:pPr>
      <w:r w:rsidRPr="0053256B">
        <w:rPr>
          <w:sz w:val="28"/>
          <w:szCs w:val="28"/>
          <w:lang w:val="en-US"/>
        </w:rPr>
        <w:t xml:space="preserve">3) Apparently, </w:t>
      </w:r>
      <w:r w:rsidRPr="0053256B">
        <w:rPr>
          <w:b/>
          <w:sz w:val="28"/>
          <w:szCs w:val="28"/>
          <w:lang w:val="en-US"/>
        </w:rPr>
        <w:t>complex conjunctions</w:t>
      </w:r>
      <w:r w:rsidRPr="0053256B">
        <w:rPr>
          <w:sz w:val="28"/>
          <w:szCs w:val="28"/>
          <w:lang w:val="en-US"/>
        </w:rPr>
        <w:t xml:space="preserve"> are more often employed by professional writers with the frequency of use ranging from 0.0043 in BI-PE to 0.0094 in political studies whereas learners use them at the level of approximately 0.003-0.004 in all the disciplines under analysis.</w:t>
      </w:r>
    </w:p>
    <w:p w:rsidR="00756F1E" w:rsidRPr="0053256B" w:rsidRDefault="00756F1E" w:rsidP="0053256B">
      <w:pPr>
        <w:spacing w:line="360" w:lineRule="auto"/>
        <w:rPr>
          <w:sz w:val="28"/>
          <w:szCs w:val="28"/>
          <w:lang w:val="en-US"/>
        </w:rPr>
      </w:pPr>
      <w:r w:rsidRPr="0053256B">
        <w:rPr>
          <w:sz w:val="28"/>
          <w:szCs w:val="28"/>
          <w:lang w:val="en-US"/>
        </w:rPr>
        <w:t xml:space="preserve">4) </w:t>
      </w:r>
      <w:proofErr w:type="spellStart"/>
      <w:r w:rsidRPr="0053256B">
        <w:rPr>
          <w:b/>
          <w:sz w:val="28"/>
          <w:szCs w:val="28"/>
          <w:lang w:val="en-US"/>
        </w:rPr>
        <w:t>Desemantisized</w:t>
      </w:r>
      <w:proofErr w:type="spellEnd"/>
      <w:r w:rsidRPr="0053256B">
        <w:rPr>
          <w:b/>
          <w:sz w:val="28"/>
          <w:szCs w:val="28"/>
          <w:lang w:val="en-US"/>
        </w:rPr>
        <w:t xml:space="preserve"> verbs</w:t>
      </w:r>
      <w:r w:rsidRPr="0053256B">
        <w:rPr>
          <w:sz w:val="28"/>
          <w:szCs w:val="28"/>
          <w:lang w:val="en-US"/>
        </w:rPr>
        <w:t xml:space="preserve"> are used similarly both across the disciplines and across the corpora.</w:t>
      </w:r>
    </w:p>
    <w:p w:rsidR="00756F1E" w:rsidRPr="0053256B" w:rsidRDefault="00756F1E" w:rsidP="0053256B">
      <w:pPr>
        <w:spacing w:line="360" w:lineRule="auto"/>
        <w:rPr>
          <w:sz w:val="28"/>
          <w:szCs w:val="28"/>
          <w:lang w:val="en-US"/>
        </w:rPr>
      </w:pPr>
      <w:r w:rsidRPr="0053256B">
        <w:rPr>
          <w:sz w:val="28"/>
          <w:szCs w:val="28"/>
          <w:lang w:val="en-US"/>
        </w:rPr>
        <w:t xml:space="preserve">5) </w:t>
      </w:r>
      <w:r w:rsidRPr="0053256B">
        <w:rPr>
          <w:b/>
          <w:sz w:val="28"/>
          <w:szCs w:val="28"/>
          <w:lang w:val="en-US"/>
        </w:rPr>
        <w:t>Future</w:t>
      </w:r>
      <w:r w:rsidRPr="0053256B">
        <w:rPr>
          <w:sz w:val="28"/>
          <w:szCs w:val="28"/>
          <w:lang w:val="en-US"/>
        </w:rPr>
        <w:t xml:space="preserve"> prevails in the learner writing, especially in </w:t>
      </w:r>
      <w:r w:rsidR="0053256B" w:rsidRPr="0053256B">
        <w:rPr>
          <w:sz w:val="28"/>
          <w:szCs w:val="28"/>
          <w:lang w:val="en-US"/>
        </w:rPr>
        <w:t>political studies</w:t>
      </w:r>
      <w:r w:rsidRPr="0053256B">
        <w:rPr>
          <w:sz w:val="28"/>
          <w:szCs w:val="28"/>
          <w:lang w:val="en-US"/>
        </w:rPr>
        <w:t xml:space="preserve"> where it exceeds the use in competent writing by</w:t>
      </w:r>
      <w:r w:rsidR="0053256B" w:rsidRPr="0053256B">
        <w:rPr>
          <w:sz w:val="28"/>
          <w:szCs w:val="28"/>
          <w:lang w:val="en-US"/>
        </w:rPr>
        <w:t xml:space="preserve"> 0.0058 (0.0075 vs 0.0017).</w:t>
      </w:r>
      <w:r w:rsidRPr="0053256B">
        <w:rPr>
          <w:sz w:val="28"/>
          <w:szCs w:val="28"/>
          <w:lang w:val="en-US"/>
        </w:rPr>
        <w:t xml:space="preserve">   </w:t>
      </w:r>
    </w:p>
    <w:sectPr w:rsidR="00756F1E" w:rsidRPr="0053256B" w:rsidSect="003762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3DC3"/>
    <w:multiLevelType w:val="hybridMultilevel"/>
    <w:tmpl w:val="DA4AFE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BD"/>
    <w:rsid w:val="00144815"/>
    <w:rsid w:val="001516DA"/>
    <w:rsid w:val="00376212"/>
    <w:rsid w:val="004A19E4"/>
    <w:rsid w:val="0053256B"/>
    <w:rsid w:val="005D5793"/>
    <w:rsid w:val="005F67E1"/>
    <w:rsid w:val="006D7726"/>
    <w:rsid w:val="006E3AF9"/>
    <w:rsid w:val="00756F1E"/>
    <w:rsid w:val="007652AC"/>
    <w:rsid w:val="00790795"/>
    <w:rsid w:val="007F43BB"/>
    <w:rsid w:val="008178D3"/>
    <w:rsid w:val="00B05FF1"/>
    <w:rsid w:val="00C337C0"/>
    <w:rsid w:val="00D83065"/>
    <w:rsid w:val="00DC5C32"/>
    <w:rsid w:val="00DE499C"/>
    <w:rsid w:val="00F71D68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C0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37C0"/>
    <w:pPr>
      <w:keepNext/>
      <w:keepLines/>
      <w:pageBreakBefore/>
      <w:spacing w:line="360" w:lineRule="auto"/>
      <w:jc w:val="center"/>
      <w:outlineLvl w:val="0"/>
    </w:pPr>
    <w:rPr>
      <w:rFonts w:ascii="Times New Roman ??????????" w:eastAsia="Calibri" w:hAnsi="Times New Roman ??????????" w:cs="Times New Roman ??????????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37C0"/>
    <w:pPr>
      <w:keepNext/>
      <w:keepLines/>
      <w:spacing w:line="360" w:lineRule="auto"/>
      <w:jc w:val="center"/>
      <w:outlineLvl w:val="1"/>
    </w:pPr>
    <w:rPr>
      <w:rFonts w:ascii="Times New Roman ??????????" w:eastAsia="Calibri" w:hAnsi="Times New Roman ??????????" w:cs="Times New Roman ??????????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37C0"/>
    <w:pPr>
      <w:keepNext/>
      <w:keepLines/>
      <w:spacing w:line="360" w:lineRule="auto"/>
      <w:jc w:val="center"/>
      <w:outlineLvl w:val="2"/>
    </w:pPr>
    <w:rPr>
      <w:rFonts w:ascii="Times New Roman ??????????" w:eastAsia="Times New Roman" w:hAnsi="Times New Roman ??????????" w:cs="Times New Roman ??????????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337C0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7C0"/>
    <w:rPr>
      <w:rFonts w:ascii="Times New Roman ??????????" w:eastAsia="Calibri" w:hAnsi="Times New Roman ??????????" w:cs="Times New Roman ??????????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37C0"/>
    <w:rPr>
      <w:rFonts w:ascii="Times New Roman ??????????" w:eastAsia="Calibri" w:hAnsi="Times New Roman ??????????" w:cs="Times New Roman ??????????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337C0"/>
    <w:rPr>
      <w:rFonts w:ascii="Times New Roman ??????????" w:eastAsia="Times New Roman" w:hAnsi="Times New Roman ??????????" w:cs="Times New Roman ??????????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37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337C0"/>
    <w:rPr>
      <w:rFonts w:eastAsia="Times New Roman" w:cs="Times New Roman"/>
      <w:b/>
      <w:bCs/>
      <w:sz w:val="20"/>
      <w:szCs w:val="20"/>
    </w:rPr>
  </w:style>
  <w:style w:type="character" w:styleId="a4">
    <w:name w:val="Strong"/>
    <w:basedOn w:val="a0"/>
    <w:uiPriority w:val="99"/>
    <w:qFormat/>
    <w:rsid w:val="00C337C0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C337C0"/>
    <w:rPr>
      <w:rFonts w:cs="Times New Roman"/>
      <w:i/>
      <w:iCs/>
    </w:rPr>
  </w:style>
  <w:style w:type="paragraph" w:styleId="a6">
    <w:name w:val="No Spacing"/>
    <w:uiPriority w:val="99"/>
    <w:qFormat/>
    <w:rsid w:val="00C337C0"/>
    <w:pPr>
      <w:spacing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C337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bstract">
    <w:name w:val="Abstract"/>
    <w:basedOn w:val="a"/>
    <w:next w:val="a"/>
    <w:qFormat/>
    <w:rsid w:val="001516DA"/>
    <w:pPr>
      <w:spacing w:before="360" w:after="300" w:line="360" w:lineRule="auto"/>
      <w:ind w:left="720" w:right="567"/>
      <w:contextualSpacing/>
      <w:jc w:val="left"/>
    </w:pPr>
    <w:rPr>
      <w:rFonts w:eastAsia="Times New Roman" w:cs="Times New Roman"/>
      <w:sz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C0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37C0"/>
    <w:pPr>
      <w:keepNext/>
      <w:keepLines/>
      <w:pageBreakBefore/>
      <w:spacing w:line="360" w:lineRule="auto"/>
      <w:jc w:val="center"/>
      <w:outlineLvl w:val="0"/>
    </w:pPr>
    <w:rPr>
      <w:rFonts w:ascii="Times New Roman ??????????" w:eastAsia="Calibri" w:hAnsi="Times New Roman ??????????" w:cs="Times New Roman ??????????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37C0"/>
    <w:pPr>
      <w:keepNext/>
      <w:keepLines/>
      <w:spacing w:line="360" w:lineRule="auto"/>
      <w:jc w:val="center"/>
      <w:outlineLvl w:val="1"/>
    </w:pPr>
    <w:rPr>
      <w:rFonts w:ascii="Times New Roman ??????????" w:eastAsia="Calibri" w:hAnsi="Times New Roman ??????????" w:cs="Times New Roman ??????????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37C0"/>
    <w:pPr>
      <w:keepNext/>
      <w:keepLines/>
      <w:spacing w:line="360" w:lineRule="auto"/>
      <w:jc w:val="center"/>
      <w:outlineLvl w:val="2"/>
    </w:pPr>
    <w:rPr>
      <w:rFonts w:ascii="Times New Roman ??????????" w:eastAsia="Times New Roman" w:hAnsi="Times New Roman ??????????" w:cs="Times New Roman ??????????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337C0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7C0"/>
    <w:rPr>
      <w:rFonts w:ascii="Times New Roman ??????????" w:eastAsia="Calibri" w:hAnsi="Times New Roman ??????????" w:cs="Times New Roman ??????????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37C0"/>
    <w:rPr>
      <w:rFonts w:ascii="Times New Roman ??????????" w:eastAsia="Calibri" w:hAnsi="Times New Roman ??????????" w:cs="Times New Roman ??????????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337C0"/>
    <w:rPr>
      <w:rFonts w:ascii="Times New Roman ??????????" w:eastAsia="Times New Roman" w:hAnsi="Times New Roman ??????????" w:cs="Times New Roman ??????????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37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337C0"/>
    <w:rPr>
      <w:rFonts w:eastAsia="Times New Roman" w:cs="Times New Roman"/>
      <w:b/>
      <w:bCs/>
      <w:sz w:val="20"/>
      <w:szCs w:val="20"/>
    </w:rPr>
  </w:style>
  <w:style w:type="character" w:styleId="a4">
    <w:name w:val="Strong"/>
    <w:basedOn w:val="a0"/>
    <w:uiPriority w:val="99"/>
    <w:qFormat/>
    <w:rsid w:val="00C337C0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C337C0"/>
    <w:rPr>
      <w:rFonts w:cs="Times New Roman"/>
      <w:i/>
      <w:iCs/>
    </w:rPr>
  </w:style>
  <w:style w:type="paragraph" w:styleId="a6">
    <w:name w:val="No Spacing"/>
    <w:uiPriority w:val="99"/>
    <w:qFormat/>
    <w:rsid w:val="00C337C0"/>
    <w:pPr>
      <w:spacing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C337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bstract">
    <w:name w:val="Abstract"/>
    <w:basedOn w:val="a"/>
    <w:next w:val="a"/>
    <w:qFormat/>
    <w:rsid w:val="001516DA"/>
    <w:pPr>
      <w:spacing w:before="360" w:after="300" w:line="360" w:lineRule="auto"/>
      <w:ind w:left="720" w:right="567"/>
      <w:contextualSpacing/>
      <w:jc w:val="left"/>
    </w:pPr>
    <w:rPr>
      <w:rFonts w:eastAsia="Times New Roman" w:cs="Times New Roman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47">
          <w:blockQuote w:val="1"/>
          <w:marLeft w:val="0"/>
          <w:marRight w:val="-125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9397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783497327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3453">
          <w:blockQuote w:val="1"/>
          <w:marLeft w:val="0"/>
          <w:marRight w:val="-125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5782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2034334566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SmirnovaEA</dc:creator>
  <cp:lastModifiedBy>StrinyukSA</cp:lastModifiedBy>
  <cp:revision>2</cp:revision>
  <dcterms:created xsi:type="dcterms:W3CDTF">2017-12-14T17:49:00Z</dcterms:created>
  <dcterms:modified xsi:type="dcterms:W3CDTF">2017-12-14T17:49:00Z</dcterms:modified>
</cp:coreProperties>
</file>