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5" w:rsidRPr="001C6195" w:rsidRDefault="001C6195" w:rsidP="00C265DB">
      <w:pPr>
        <w:tabs>
          <w:tab w:val="left" w:pos="5103"/>
        </w:tabs>
        <w:suppressAutoHyphens w:val="0"/>
        <w:ind w:firstLine="5387"/>
        <w:contextualSpacing/>
        <w:rPr>
          <w:color w:val="auto"/>
          <w:kern w:val="0"/>
          <w:sz w:val="26"/>
          <w:szCs w:val="26"/>
          <w:lang w:eastAsia="ru-RU"/>
        </w:rPr>
      </w:pPr>
      <w:r w:rsidRPr="001C6195">
        <w:rPr>
          <w:color w:val="auto"/>
          <w:kern w:val="0"/>
          <w:sz w:val="26"/>
          <w:szCs w:val="26"/>
          <w:lang w:eastAsia="ru-RU"/>
        </w:rPr>
        <w:t>Приложение</w:t>
      </w:r>
    </w:p>
    <w:p w:rsidR="001C6195" w:rsidRPr="001C6195" w:rsidRDefault="001C6195" w:rsidP="00C265DB">
      <w:pPr>
        <w:tabs>
          <w:tab w:val="left" w:pos="5103"/>
        </w:tabs>
        <w:suppressAutoHyphens w:val="0"/>
        <w:ind w:firstLine="5387"/>
        <w:contextualSpacing/>
        <w:rPr>
          <w:color w:val="auto"/>
          <w:kern w:val="0"/>
          <w:sz w:val="26"/>
          <w:szCs w:val="26"/>
          <w:lang w:eastAsia="ru-RU"/>
        </w:rPr>
      </w:pPr>
      <w:r w:rsidRPr="001C6195">
        <w:rPr>
          <w:color w:val="auto"/>
          <w:kern w:val="0"/>
          <w:sz w:val="26"/>
          <w:szCs w:val="26"/>
          <w:lang w:eastAsia="ru-RU"/>
        </w:rPr>
        <w:t>к приказу НИУ ВШЭ</w:t>
      </w:r>
    </w:p>
    <w:p w:rsidR="00096D36" w:rsidRPr="00886466" w:rsidRDefault="001C6195" w:rsidP="00C265DB">
      <w:pPr>
        <w:widowControl w:val="0"/>
        <w:shd w:val="clear" w:color="auto" w:fill="FFFFFF"/>
        <w:tabs>
          <w:tab w:val="left" w:pos="5103"/>
        </w:tabs>
        <w:autoSpaceDE w:val="0"/>
        <w:spacing w:line="276" w:lineRule="auto"/>
        <w:ind w:firstLine="5387"/>
        <w:rPr>
          <w:bCs/>
          <w:color w:val="auto"/>
          <w:sz w:val="26"/>
          <w:szCs w:val="26"/>
        </w:rPr>
      </w:pPr>
      <w:r w:rsidRPr="001C6195">
        <w:rPr>
          <w:color w:val="auto"/>
          <w:kern w:val="0"/>
          <w:sz w:val="26"/>
          <w:szCs w:val="26"/>
          <w:lang w:eastAsia="ru-RU"/>
        </w:rPr>
        <w:t xml:space="preserve">от </w:t>
      </w:r>
      <w:r>
        <w:rPr>
          <w:color w:val="auto"/>
          <w:kern w:val="0"/>
          <w:sz w:val="26"/>
          <w:szCs w:val="26"/>
          <w:lang w:eastAsia="ru-RU"/>
        </w:rPr>
        <w:t>_________</w:t>
      </w:r>
      <w:r w:rsidRPr="001C6195">
        <w:rPr>
          <w:color w:val="auto"/>
          <w:kern w:val="0"/>
          <w:sz w:val="26"/>
          <w:szCs w:val="26"/>
          <w:lang w:eastAsia="ru-RU"/>
        </w:rPr>
        <w:t xml:space="preserve"> №</w:t>
      </w:r>
      <w:r>
        <w:rPr>
          <w:color w:val="auto"/>
          <w:kern w:val="0"/>
          <w:sz w:val="26"/>
          <w:szCs w:val="26"/>
          <w:lang w:eastAsia="ru-RU"/>
        </w:rPr>
        <w:t>________</w:t>
      </w:r>
    </w:p>
    <w:p w:rsidR="00C265DB" w:rsidRDefault="00096D36" w:rsidP="00C265DB">
      <w:pPr>
        <w:tabs>
          <w:tab w:val="left" w:pos="2490"/>
          <w:tab w:val="left" w:pos="5387"/>
        </w:tabs>
        <w:ind w:left="5387" w:firstLine="5103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«</w:t>
      </w:r>
      <w:r w:rsidR="001C6195">
        <w:rPr>
          <w:color w:val="auto"/>
          <w:sz w:val="26"/>
          <w:szCs w:val="26"/>
        </w:rPr>
        <w:t xml:space="preserve"> «</w:t>
      </w:r>
      <w:r w:rsidRPr="00886466">
        <w:rPr>
          <w:color w:val="auto"/>
          <w:sz w:val="26"/>
          <w:szCs w:val="26"/>
        </w:rPr>
        <w:t>Приложение № 1</w:t>
      </w:r>
    </w:p>
    <w:p w:rsidR="00557CF0" w:rsidRDefault="00C265DB" w:rsidP="00C265DB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</w:t>
      </w:r>
      <w:r w:rsidR="00096D36" w:rsidRPr="00886466">
        <w:rPr>
          <w:color w:val="auto"/>
          <w:sz w:val="26"/>
          <w:szCs w:val="26"/>
        </w:rPr>
        <w:t xml:space="preserve"> </w:t>
      </w:r>
      <w:r w:rsidR="00096D36" w:rsidRPr="00886466">
        <w:rPr>
          <w:bCs/>
          <w:color w:val="auto"/>
          <w:sz w:val="26"/>
          <w:szCs w:val="26"/>
        </w:rPr>
        <w:t>П</w:t>
      </w:r>
      <w:r w:rsidR="00096D36" w:rsidRPr="00886466">
        <w:rPr>
          <w:bCs/>
          <w:color w:val="auto"/>
          <w:spacing w:val="-20"/>
          <w:sz w:val="26"/>
          <w:szCs w:val="26"/>
        </w:rPr>
        <w:t>о</w:t>
      </w:r>
      <w:r w:rsidR="00096D36"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="00096D36" w:rsidRPr="00886466">
        <w:rPr>
          <w:bCs/>
          <w:color w:val="auto"/>
          <w:sz w:val="26"/>
          <w:szCs w:val="26"/>
        </w:rPr>
        <w:t>материальной</w:t>
      </w:r>
      <w:proofErr w:type="gramEnd"/>
      <w:r w:rsidR="00096D36" w:rsidRPr="00886466">
        <w:rPr>
          <w:bCs/>
          <w:color w:val="auto"/>
          <w:sz w:val="26"/>
          <w:szCs w:val="26"/>
        </w:rPr>
        <w:t xml:space="preserve"> поддержки </w:t>
      </w:r>
    </w:p>
    <w:p w:rsidR="00096D36" w:rsidRPr="00886466" w:rsidRDefault="00096D36" w:rsidP="00C265DB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 НИУ ВШЭ</w:t>
      </w:r>
    </w:p>
    <w:p w:rsidR="001D2CD2" w:rsidRPr="00886466" w:rsidRDefault="001D2CD2" w:rsidP="00C265DB">
      <w:pPr>
        <w:pStyle w:val="af9"/>
        <w:spacing w:before="0" w:after="0"/>
        <w:ind w:firstLine="709"/>
        <w:rPr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 w:line="276" w:lineRule="auto"/>
        <w:rPr>
          <w:sz w:val="26"/>
          <w:szCs w:val="26"/>
        </w:rPr>
      </w:pPr>
    </w:p>
    <w:p w:rsidR="001D2CD2" w:rsidRPr="00886466" w:rsidRDefault="00886466" w:rsidP="00876641">
      <w:pPr>
        <w:pStyle w:val="af9"/>
        <w:spacing w:before="0" w:after="0"/>
        <w:ind w:firstLine="709"/>
        <w:jc w:val="center"/>
        <w:rPr>
          <w:sz w:val="26"/>
          <w:szCs w:val="26"/>
        </w:rPr>
      </w:pPr>
      <w:r w:rsidRPr="00886466">
        <w:rPr>
          <w:bCs/>
          <w:sz w:val="26"/>
          <w:szCs w:val="26"/>
        </w:rPr>
        <w:t xml:space="preserve"> Критерии назначения, </w:t>
      </w:r>
      <w:r w:rsidR="00096D36" w:rsidRPr="00886466">
        <w:rPr>
          <w:bCs/>
          <w:sz w:val="26"/>
          <w:szCs w:val="26"/>
        </w:rPr>
        <w:t>порядок участия в конкурсе на получение повышенной государственной академической стипендии</w:t>
      </w:r>
      <w:r w:rsidR="00096D36" w:rsidRPr="00886466">
        <w:rPr>
          <w:sz w:val="26"/>
          <w:szCs w:val="26"/>
        </w:rPr>
        <w:t xml:space="preserve"> за достижения в научно-исследовательской деятельности</w:t>
      </w:r>
    </w:p>
    <w:p w:rsidR="00096D36" w:rsidRPr="00886466" w:rsidRDefault="00096D36" w:rsidP="00876641">
      <w:pPr>
        <w:pStyle w:val="af9"/>
        <w:spacing w:before="0" w:after="0"/>
        <w:ind w:firstLine="709"/>
        <w:jc w:val="center"/>
      </w:pPr>
    </w:p>
    <w:p w:rsidR="00096D36" w:rsidRPr="00886466" w:rsidRDefault="00096D36" w:rsidP="00876641">
      <w:pPr>
        <w:pStyle w:val="text"/>
        <w:tabs>
          <w:tab w:val="left" w:pos="1276"/>
        </w:tabs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sz w:val="26"/>
          <w:szCs w:val="26"/>
        </w:rPr>
        <w:t xml:space="preserve">1. </w:t>
      </w:r>
      <w:r w:rsidRPr="00886466">
        <w:rPr>
          <w:bCs/>
          <w:sz w:val="26"/>
          <w:szCs w:val="26"/>
        </w:rPr>
        <w:t>Повышенная государственная академическая стипендия за достижения студента</w:t>
      </w:r>
      <w:r w:rsidRPr="00886466">
        <w:rPr>
          <w:rStyle w:val="ac"/>
          <w:bCs/>
          <w:sz w:val="26"/>
          <w:szCs w:val="26"/>
        </w:rPr>
        <w:footnoteReference w:id="1"/>
      </w:r>
      <w:r w:rsidRPr="00886466">
        <w:rPr>
          <w:bCs/>
          <w:sz w:val="26"/>
          <w:szCs w:val="26"/>
        </w:rPr>
        <w:t xml:space="preserve"> в научно-исследовательской деятельности назначается при соответствии этой деятельности одному или нескольким из следующих критериев: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а) получение студентом в течение года, </w:t>
      </w:r>
      <w:proofErr w:type="gramStart"/>
      <w:r w:rsidRPr="00886466">
        <w:rPr>
          <w:color w:val="auto"/>
          <w:sz w:val="26"/>
          <w:szCs w:val="26"/>
        </w:rPr>
        <w:t>предшествующих</w:t>
      </w:r>
      <w:proofErr w:type="gramEnd"/>
      <w:r w:rsidRPr="00886466">
        <w:rPr>
          <w:color w:val="auto"/>
          <w:sz w:val="26"/>
          <w:szCs w:val="26"/>
        </w:rPr>
        <w:t xml:space="preserve"> назначению повышенной государственной академической стипендии: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– награды (приза) за результаты научно-исследовательской работы, проводимой студентом;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– гранта на выполнение научно-исследовательской работы;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б) 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НИУ ВШЭ, иной организации, осуществляющей образовательную деятельность, научной или иной организации в течение года, предшествующего назначению повышенной государственной академической стипендии.</w:t>
      </w:r>
    </w:p>
    <w:p w:rsidR="00096D36" w:rsidRPr="00886466" w:rsidRDefault="00096D36" w:rsidP="00876641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>2. Для участия в конкурсе на получение повышенной государственной академической стипендии за достижения в научно-исследовательской деятельности претендент должен представить сканированные копии документов (публикаций)</w:t>
      </w:r>
      <w:r w:rsidRPr="00886466">
        <w:rPr>
          <w:rStyle w:val="ac"/>
          <w:sz w:val="26"/>
          <w:szCs w:val="26"/>
        </w:rPr>
        <w:footnoteReference w:id="2"/>
      </w:r>
      <w:r w:rsidRPr="00886466">
        <w:rPr>
          <w:sz w:val="26"/>
          <w:szCs w:val="26"/>
        </w:rPr>
        <w:t>, подтверждающие соответствие деятельности студ</w:t>
      </w:r>
      <w:r w:rsidR="005D2283" w:rsidRPr="00886466">
        <w:rPr>
          <w:sz w:val="26"/>
          <w:szCs w:val="26"/>
        </w:rPr>
        <w:t>ента крит</w:t>
      </w:r>
      <w:r w:rsidR="00304F47">
        <w:rPr>
          <w:sz w:val="26"/>
          <w:szCs w:val="26"/>
        </w:rPr>
        <w:t>ериям, установленным пунктом 1.</w:t>
      </w:r>
    </w:p>
    <w:p w:rsidR="00886466" w:rsidRPr="00886466" w:rsidRDefault="00096D3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 претендент</w:t>
      </w:r>
      <w:r w:rsidR="001D2CD2" w:rsidRPr="00886466">
        <w:rPr>
          <w:color w:val="auto"/>
          <w:sz w:val="26"/>
          <w:szCs w:val="26"/>
        </w:rPr>
        <w:t xml:space="preserve"> </w:t>
      </w:r>
      <w:r w:rsidRPr="00886466">
        <w:rPr>
          <w:color w:val="auto"/>
          <w:sz w:val="26"/>
          <w:szCs w:val="26"/>
        </w:rPr>
        <w:t>не может использовать в дальнейших конкурсах на получение повышенной государственной академической стипендии за достижения в научно-исследовательской деятельности уже предоставленные ранее результаты научно-исследовательской деятельности и документы.</w:t>
      </w:r>
    </w:p>
    <w:p w:rsidR="00096D36" w:rsidRPr="00886466" w:rsidRDefault="0088646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lastRenderedPageBreak/>
        <w:t xml:space="preserve">4. </w:t>
      </w:r>
      <w:r w:rsidR="00096D36" w:rsidRPr="00886466">
        <w:rPr>
          <w:color w:val="auto"/>
          <w:sz w:val="26"/>
          <w:szCs w:val="26"/>
        </w:rPr>
        <w:t>Критерии оценки деятельности студента, претендующего на повышенную государственную академическую стипендию за достижения в научно – исследовательской деятельности</w:t>
      </w:r>
    </w:p>
    <w:p w:rsidR="001D2CD2" w:rsidRPr="00886466" w:rsidRDefault="001D2CD2" w:rsidP="00876641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402"/>
      </w:tblGrid>
      <w:tr w:rsidR="00886466" w:rsidRPr="00886466" w:rsidTr="00876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Баллы</w:t>
            </w:r>
            <w:r w:rsidRPr="00886466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886466" w:rsidRPr="00886466" w:rsidTr="008766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11</w:t>
            </w:r>
            <w:r w:rsidRPr="00886466">
              <w:rPr>
                <w:color w:val="auto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Победа студента в течение года, предшествующего назначению повышенной государственной академической стипендии</w:t>
            </w:r>
            <w:r w:rsidR="001D2CD2" w:rsidRPr="00886466">
              <w:rPr>
                <w:color w:val="auto"/>
                <w:sz w:val="26"/>
                <w:szCs w:val="26"/>
              </w:rPr>
              <w:t>,</w:t>
            </w:r>
            <w:r w:rsidRPr="00886466">
              <w:rPr>
                <w:color w:val="auto"/>
                <w:sz w:val="26"/>
                <w:szCs w:val="26"/>
              </w:rPr>
              <w:t xml:space="preserve"> в конкурсе научно-исследовательских работ студентов (далее – НИРС), проводимом НИУ ВШЭ: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pStyle w:val="af4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466">
              <w:rPr>
                <w:sz w:val="26"/>
                <w:szCs w:val="26"/>
              </w:rPr>
              <w:t>1 место в конкурсе НИРС;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20</w:t>
            </w:r>
            <w:r w:rsidRPr="00886466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pStyle w:val="af4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466">
              <w:rPr>
                <w:sz w:val="26"/>
                <w:szCs w:val="26"/>
              </w:rPr>
              <w:t>2 место в конкурсе НИРС;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16</w:t>
            </w:r>
            <w:r w:rsidRPr="00886466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pStyle w:val="af4"/>
              <w:numPr>
                <w:ilvl w:val="1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6466">
              <w:rPr>
                <w:sz w:val="26"/>
                <w:szCs w:val="26"/>
              </w:rPr>
              <w:t>3</w:t>
            </w:r>
            <w:r w:rsidR="00096D36" w:rsidRPr="00886466">
              <w:rPr>
                <w:sz w:val="26"/>
                <w:szCs w:val="26"/>
              </w:rPr>
              <w:t xml:space="preserve"> место в конкурсе НИРС;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14</w:t>
            </w:r>
            <w:r w:rsidRPr="00886466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886466" w:rsidRPr="00886466" w:rsidTr="008766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2.1. </w:t>
            </w:r>
            <w:r w:rsidR="00096D36" w:rsidRPr="00886466">
              <w:rPr>
                <w:color w:val="auto"/>
                <w:sz w:val="26"/>
                <w:szCs w:val="26"/>
              </w:rPr>
              <w:t>награды (приза) за результаты научно-исследовательской работы, проводимой студентом вне НИУ ВШЭ;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2.2. </w:t>
            </w:r>
            <w:r w:rsidR="00096D36" w:rsidRPr="00886466">
              <w:rPr>
                <w:color w:val="auto"/>
                <w:sz w:val="26"/>
                <w:szCs w:val="26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2.3. </w:t>
            </w:r>
            <w:r w:rsidR="00096D36" w:rsidRPr="00886466">
              <w:rPr>
                <w:color w:val="auto"/>
                <w:sz w:val="26"/>
                <w:szCs w:val="26"/>
              </w:rPr>
              <w:t>гранта на выполнение научно-исследовательской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886466" w:rsidRPr="00886466" w:rsidTr="008766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Наличие у студента публикации</w:t>
            </w:r>
            <w:r w:rsidRPr="00886466">
              <w:rPr>
                <w:rStyle w:val="ac"/>
                <w:color w:val="auto"/>
                <w:sz w:val="26"/>
                <w:szCs w:val="26"/>
              </w:rPr>
              <w:footnoteReference w:id="5"/>
            </w:r>
            <w:r w:rsidRPr="00886466">
              <w:rPr>
                <w:color w:val="auto"/>
                <w:sz w:val="26"/>
                <w:szCs w:val="26"/>
              </w:rPr>
              <w:t xml:space="preserve"> в научном (учебно-научном, учебно-методическом) издании в течение года, предшествующего назначению повышенной государственной академической стипендии: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3.1. с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татья (обзор) в зарубежном или российском научном журнале, </w:t>
            </w:r>
            <w:r w:rsidR="00096D36" w:rsidRPr="00886466">
              <w:rPr>
                <w:rStyle w:val="aff0"/>
                <w:b w:val="0"/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Q1, Q2 /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Q1, Q2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6"/>
            </w:r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3.2. д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оклад (статья) в сборнике трудов конференции (журнале), </w:t>
            </w:r>
            <w:r w:rsidR="00096D36" w:rsidRPr="00886466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>/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, из списка конференций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  <w:r w:rsidR="00096D36" w:rsidRPr="00886466">
              <w:rPr>
                <w:bCs/>
                <w:color w:val="auto"/>
                <w:sz w:val="26"/>
                <w:szCs w:val="26"/>
              </w:rPr>
              <w:t>уровня A*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 по рейтингу CORE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7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3.3. с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татья (обзор) в зарубежном или российском научном журнале, </w:t>
            </w:r>
            <w:r w:rsidR="00096D36" w:rsidRPr="00886466">
              <w:rPr>
                <w:rStyle w:val="aff0"/>
                <w:b w:val="0"/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Q3, Q4 /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Q3, Q4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8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3.4. с</w:t>
            </w:r>
            <w:r w:rsidR="00096D36" w:rsidRPr="00886466">
              <w:rPr>
                <w:color w:val="auto"/>
                <w:sz w:val="26"/>
                <w:szCs w:val="26"/>
              </w:rPr>
              <w:t>татья (обзор) в российском научном журнале, входящем в Перечень российских журналов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9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3.5. с</w:t>
            </w:r>
            <w:r w:rsidR="00096D36" w:rsidRPr="00886466">
              <w:rPr>
                <w:color w:val="auto"/>
                <w:sz w:val="26"/>
                <w:szCs w:val="26"/>
              </w:rPr>
              <w:t>татья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10"/>
            </w:r>
            <w:r w:rsidR="00096D36" w:rsidRPr="00886466">
              <w:rPr>
                <w:color w:val="auto"/>
                <w:sz w:val="26"/>
                <w:szCs w:val="26"/>
              </w:rPr>
              <w:t xml:space="preserve"> в зарубежном или российском научном </w:t>
            </w:r>
            <w:r w:rsidR="00096D36" w:rsidRPr="00886466">
              <w:rPr>
                <w:color w:val="auto"/>
                <w:sz w:val="26"/>
                <w:szCs w:val="26"/>
              </w:rPr>
              <w:lastRenderedPageBreak/>
              <w:t xml:space="preserve">журнале, </w:t>
            </w:r>
            <w:r w:rsidR="00096D36" w:rsidRPr="00886466">
              <w:rPr>
                <w:rStyle w:val="aff0"/>
                <w:b w:val="0"/>
                <w:color w:val="auto"/>
                <w:sz w:val="26"/>
                <w:szCs w:val="26"/>
              </w:rPr>
              <w:t xml:space="preserve">не 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>/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и </w:t>
            </w:r>
            <w:r w:rsidR="00096D36" w:rsidRPr="00886466">
              <w:rPr>
                <w:rStyle w:val="aff0"/>
                <w:b w:val="0"/>
                <w:color w:val="auto"/>
                <w:sz w:val="26"/>
                <w:szCs w:val="26"/>
              </w:rPr>
              <w:t xml:space="preserve">не </w:t>
            </w:r>
            <w:r w:rsidR="00096D36" w:rsidRPr="00886466">
              <w:rPr>
                <w:color w:val="auto"/>
                <w:sz w:val="26"/>
                <w:szCs w:val="26"/>
              </w:rPr>
              <w:t>входящем в Перечень российских 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lastRenderedPageBreak/>
              <w:t>6 баллов</w:t>
            </w:r>
          </w:p>
        </w:tc>
      </w:tr>
      <w:tr w:rsidR="00886466" w:rsidRPr="00886466" w:rsidTr="0087664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3.6. п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убликация в сборнике трудов конференции, индексируемом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>/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>, </w:t>
            </w:r>
            <w:r w:rsidR="00096D36" w:rsidRPr="00886466">
              <w:rPr>
                <w:bCs/>
                <w:color w:val="auto"/>
                <w:sz w:val="26"/>
                <w:szCs w:val="26"/>
              </w:rPr>
              <w:t>за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  <w:r w:rsidR="00096D36" w:rsidRPr="00886466">
              <w:rPr>
                <w:bCs/>
                <w:color w:val="auto"/>
                <w:sz w:val="26"/>
                <w:szCs w:val="26"/>
              </w:rPr>
              <w:t>исключением</w:t>
            </w:r>
            <w:r w:rsidR="00096D36" w:rsidRPr="00886466">
              <w:rPr>
                <w:color w:val="auto"/>
                <w:sz w:val="26"/>
                <w:szCs w:val="26"/>
              </w:rPr>
              <w:t xml:space="preserve"> списка конференций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 xml:space="preserve"> уровня A* по рейтингу CORE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434CD" w:rsidRPr="00886466" w:rsidTr="00876641">
        <w:trPr>
          <w:trHeight w:val="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 w:rsidP="00876641">
            <w:pPr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3.7. п</w:t>
            </w:r>
            <w:r w:rsidR="00096D36" w:rsidRPr="00886466">
              <w:rPr>
                <w:color w:val="auto"/>
                <w:sz w:val="26"/>
                <w:szCs w:val="26"/>
              </w:rPr>
              <w:t>убликация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11"/>
            </w:r>
            <w:r w:rsidR="00096D36" w:rsidRPr="00886466">
              <w:rPr>
                <w:color w:val="auto"/>
                <w:sz w:val="26"/>
                <w:szCs w:val="26"/>
              </w:rPr>
              <w:t xml:space="preserve"> в сборнике трудов конференции, не индексируемом 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WoS</w:t>
            </w:r>
            <w:proofErr w:type="spellEnd"/>
            <w:r w:rsidR="00096D36" w:rsidRPr="00886466">
              <w:rPr>
                <w:color w:val="auto"/>
                <w:sz w:val="26"/>
                <w:szCs w:val="26"/>
              </w:rPr>
              <w:t>/</w:t>
            </w:r>
            <w:proofErr w:type="spellStart"/>
            <w:r w:rsidR="00096D36" w:rsidRPr="00886466">
              <w:rPr>
                <w:color w:val="auto"/>
                <w:sz w:val="26"/>
                <w:szCs w:val="26"/>
              </w:rPr>
              <w:t>Scopus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rFonts w:eastAsiaTheme="minorHAnsi"/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4 балла</w:t>
            </w:r>
          </w:p>
        </w:tc>
      </w:tr>
    </w:tbl>
    <w:p w:rsidR="00096D36" w:rsidRPr="00886466" w:rsidRDefault="00096D36" w:rsidP="00876641">
      <w:pPr>
        <w:tabs>
          <w:tab w:val="left" w:pos="2490"/>
        </w:tabs>
        <w:ind w:left="5387"/>
        <w:rPr>
          <w:color w:val="auto"/>
          <w:sz w:val="26"/>
          <w:szCs w:val="26"/>
        </w:rPr>
      </w:pPr>
    </w:p>
    <w:p w:rsidR="00096D36" w:rsidRPr="00886466" w:rsidRDefault="00096D36" w:rsidP="00876641">
      <w:pPr>
        <w:tabs>
          <w:tab w:val="left" w:pos="2490"/>
        </w:tabs>
        <w:ind w:left="5387"/>
        <w:rPr>
          <w:color w:val="auto"/>
          <w:sz w:val="26"/>
          <w:szCs w:val="26"/>
        </w:rPr>
      </w:pPr>
    </w:p>
    <w:p w:rsidR="00096D36" w:rsidRPr="00886466" w:rsidRDefault="00096D36" w:rsidP="00876641">
      <w:pPr>
        <w:widowControl w:val="0"/>
        <w:shd w:val="clear" w:color="auto" w:fill="FFFFFF"/>
        <w:autoSpaceDE w:val="0"/>
        <w:ind w:firstLine="709"/>
        <w:jc w:val="right"/>
        <w:rPr>
          <w:bCs/>
          <w:color w:val="auto"/>
          <w:sz w:val="26"/>
          <w:szCs w:val="26"/>
        </w:rPr>
      </w:pPr>
    </w:p>
    <w:p w:rsidR="00DC2ED3" w:rsidRPr="00886466" w:rsidRDefault="00DC2ED3" w:rsidP="00876641">
      <w:pPr>
        <w:jc w:val="both"/>
        <w:rPr>
          <w:color w:val="auto"/>
          <w:sz w:val="26"/>
          <w:szCs w:val="26"/>
        </w:rPr>
      </w:pPr>
    </w:p>
    <w:p w:rsidR="00324F2D" w:rsidRPr="00886466" w:rsidRDefault="00324F2D">
      <w:pPr>
        <w:widowControl w:val="0"/>
        <w:shd w:val="clear" w:color="auto" w:fill="FFFFFF"/>
        <w:tabs>
          <w:tab w:val="left" w:pos="0"/>
        </w:tabs>
        <w:autoSpaceDE w:val="0"/>
        <w:rPr>
          <w:color w:val="auto"/>
          <w:kern w:val="0"/>
          <w:sz w:val="26"/>
          <w:szCs w:val="26"/>
          <w:lang w:eastAsia="ru-RU"/>
        </w:rPr>
      </w:pPr>
    </w:p>
    <w:p w:rsidR="00096D36" w:rsidRPr="00886466" w:rsidRDefault="00096D36">
      <w:pPr>
        <w:suppressAutoHyphens w:val="0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br w:type="page"/>
      </w:r>
    </w:p>
    <w:p w:rsidR="00096D36" w:rsidRPr="00886466" w:rsidRDefault="00096D36" w:rsidP="00876641">
      <w:pPr>
        <w:tabs>
          <w:tab w:val="left" w:pos="2490"/>
        </w:tabs>
        <w:ind w:left="5387"/>
        <w:rPr>
          <w:color w:val="auto"/>
          <w:kern w:val="0"/>
          <w:sz w:val="26"/>
          <w:szCs w:val="26"/>
          <w:lang w:eastAsia="ru-RU"/>
        </w:rPr>
      </w:pPr>
      <w:r w:rsidRPr="00886466">
        <w:rPr>
          <w:color w:val="auto"/>
          <w:sz w:val="26"/>
          <w:szCs w:val="26"/>
        </w:rPr>
        <w:lastRenderedPageBreak/>
        <w:t>Приложение № 2</w:t>
      </w:r>
    </w:p>
    <w:p w:rsidR="00096D36" w:rsidRPr="00886466" w:rsidRDefault="00096D36" w:rsidP="00876641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886466">
        <w:rPr>
          <w:bCs/>
          <w:color w:val="auto"/>
          <w:sz w:val="26"/>
          <w:szCs w:val="26"/>
        </w:rPr>
        <w:t>материальной</w:t>
      </w:r>
      <w:proofErr w:type="gramEnd"/>
      <w:r w:rsidRPr="00886466">
        <w:rPr>
          <w:bCs/>
          <w:color w:val="auto"/>
          <w:sz w:val="26"/>
          <w:szCs w:val="26"/>
        </w:rPr>
        <w:t xml:space="preserve"> поддержки </w:t>
      </w:r>
    </w:p>
    <w:p w:rsidR="00096D36" w:rsidRPr="00886466" w:rsidRDefault="00096D36" w:rsidP="0087664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 НИУ ВШЭ</w:t>
      </w: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/>
        <w:ind w:firstLine="709"/>
        <w:jc w:val="center"/>
        <w:rPr>
          <w:bCs/>
          <w:sz w:val="26"/>
          <w:szCs w:val="26"/>
        </w:rPr>
      </w:pPr>
      <w:r w:rsidRPr="00886466">
        <w:rPr>
          <w:bCs/>
          <w:sz w:val="26"/>
          <w:szCs w:val="26"/>
        </w:rPr>
        <w:t xml:space="preserve">Критерии назначения и порядок участия в конкурсе на получение </w:t>
      </w:r>
    </w:p>
    <w:p w:rsidR="00096D36" w:rsidRPr="00886466" w:rsidRDefault="00096D36" w:rsidP="00876641">
      <w:pPr>
        <w:pStyle w:val="af9"/>
        <w:spacing w:before="0" w:after="0"/>
        <w:ind w:firstLine="709"/>
        <w:jc w:val="center"/>
        <w:rPr>
          <w:sz w:val="26"/>
          <w:szCs w:val="26"/>
        </w:rPr>
      </w:pPr>
      <w:r w:rsidRPr="00886466">
        <w:rPr>
          <w:bCs/>
          <w:sz w:val="26"/>
          <w:szCs w:val="26"/>
        </w:rPr>
        <w:t>повышенной государственной академической стипендии</w:t>
      </w:r>
      <w:r w:rsidRPr="00886466">
        <w:rPr>
          <w:sz w:val="26"/>
          <w:szCs w:val="26"/>
        </w:rPr>
        <w:t xml:space="preserve"> за достижения в учебной деятельности</w:t>
      </w:r>
    </w:p>
    <w:p w:rsidR="00806576" w:rsidRPr="00886466" w:rsidRDefault="00806576" w:rsidP="00876641">
      <w:pPr>
        <w:pStyle w:val="af9"/>
        <w:spacing w:before="0" w:after="0"/>
        <w:ind w:firstLine="709"/>
        <w:jc w:val="center"/>
        <w:rPr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bCs/>
          <w:sz w:val="26"/>
          <w:szCs w:val="26"/>
        </w:rPr>
        <w:t>1.</w:t>
      </w:r>
      <w:r w:rsidR="00806576" w:rsidRPr="00886466">
        <w:rPr>
          <w:bCs/>
          <w:sz w:val="26"/>
          <w:szCs w:val="26"/>
        </w:rPr>
        <w:t xml:space="preserve"> </w:t>
      </w:r>
      <w:r w:rsidRPr="00886466">
        <w:rPr>
          <w:bCs/>
          <w:sz w:val="26"/>
          <w:szCs w:val="26"/>
        </w:rPr>
        <w:t>Повышенная государственная академическая стипендия за достижения студента в учебной деятельности назначается при соответствии этих достижений следующим критериям: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а) получение студентом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б) 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в) 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86466">
        <w:rPr>
          <w:rStyle w:val="ac"/>
          <w:color w:val="auto"/>
          <w:sz w:val="26"/>
          <w:szCs w:val="26"/>
        </w:rPr>
        <w:footnoteReference w:id="12"/>
      </w:r>
      <w:r w:rsidRPr="00886466">
        <w:rPr>
          <w:color w:val="auto"/>
          <w:sz w:val="26"/>
          <w:szCs w:val="26"/>
        </w:rPr>
        <w:t>, конкурса, соревнования, состязания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86466">
        <w:rPr>
          <w:rStyle w:val="ac"/>
          <w:bCs/>
          <w:color w:val="auto"/>
          <w:sz w:val="26"/>
          <w:szCs w:val="26"/>
        </w:rPr>
        <w:footnoteReference w:id="13"/>
      </w:r>
      <w:r w:rsidRPr="00886466">
        <w:rPr>
          <w:color w:val="auto"/>
          <w:sz w:val="26"/>
          <w:szCs w:val="26"/>
        </w:rPr>
        <w:t>.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2. </w:t>
      </w:r>
      <w:r w:rsidRPr="00886466">
        <w:rPr>
          <w:rFonts w:eastAsia="Calibri"/>
          <w:color w:val="auto"/>
          <w:sz w:val="26"/>
          <w:szCs w:val="26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9" w:history="1">
        <w:r w:rsidRPr="00886466">
          <w:rPr>
            <w:rStyle w:val="a3"/>
            <w:rFonts w:eastAsia="Calibri"/>
            <w:color w:val="auto"/>
            <w:sz w:val="26"/>
            <w:szCs w:val="26"/>
            <w:u w:val="none"/>
          </w:rPr>
          <w:t xml:space="preserve">подпункте </w:t>
        </w:r>
        <w:r w:rsidR="00876641" w:rsidRPr="00886466">
          <w:rPr>
            <w:rStyle w:val="a3"/>
            <w:rFonts w:eastAsia="Calibri"/>
            <w:color w:val="auto"/>
            <w:sz w:val="26"/>
            <w:szCs w:val="26"/>
            <w:u w:val="none"/>
          </w:rPr>
          <w:t>«</w:t>
        </w:r>
        <w:r w:rsidRPr="00886466">
          <w:rPr>
            <w:rStyle w:val="a3"/>
            <w:rFonts w:eastAsia="Calibri"/>
            <w:color w:val="auto"/>
            <w:sz w:val="26"/>
            <w:szCs w:val="26"/>
            <w:u w:val="none"/>
          </w:rPr>
          <w:t>а</w:t>
        </w:r>
        <w:r w:rsidR="00876641" w:rsidRPr="00886466">
          <w:rPr>
            <w:rStyle w:val="a3"/>
            <w:rFonts w:eastAsia="Calibri"/>
            <w:color w:val="auto"/>
            <w:sz w:val="26"/>
            <w:szCs w:val="26"/>
            <w:u w:val="none"/>
          </w:rPr>
          <w:t>»</w:t>
        </w:r>
        <w:r w:rsidRPr="00886466">
          <w:rPr>
            <w:rStyle w:val="a3"/>
            <w:rFonts w:eastAsia="Calibri"/>
            <w:color w:val="auto"/>
            <w:sz w:val="26"/>
            <w:szCs w:val="26"/>
            <w:u w:val="none"/>
          </w:rPr>
          <w:t xml:space="preserve"> пункта 1</w:t>
        </w:r>
      </w:hyperlink>
      <w:r w:rsidRPr="00886466">
        <w:rPr>
          <w:rFonts w:eastAsia="Calibri"/>
          <w:color w:val="auto"/>
          <w:sz w:val="26"/>
          <w:szCs w:val="26"/>
        </w:rPr>
        <w:t>, не назначается.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3. Численность студентов, </w:t>
      </w:r>
      <w:r w:rsidR="00876641" w:rsidRPr="00886466">
        <w:rPr>
          <w:color w:val="auto"/>
          <w:sz w:val="26"/>
          <w:szCs w:val="26"/>
        </w:rPr>
        <w:t>получающих</w:t>
      </w:r>
      <w:r w:rsidRPr="00886466">
        <w:rPr>
          <w:color w:val="auto"/>
          <w:sz w:val="26"/>
          <w:szCs w:val="26"/>
        </w:rPr>
        <w:t xml:space="preserve"> повышенную государственную академическую стипендию за достижения в учебной деятельности,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sz w:val="26"/>
          <w:szCs w:val="26"/>
        </w:rPr>
        <w:t xml:space="preserve">4. Претенденты на получение </w:t>
      </w:r>
      <w:r w:rsidRPr="00886466">
        <w:rPr>
          <w:bCs/>
          <w:sz w:val="26"/>
          <w:szCs w:val="26"/>
        </w:rPr>
        <w:t>повышенной государственной академической стипендии за достижения в учебной деятельности могут участвовать в одном из следующих конкурсов: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886466">
        <w:rPr>
          <w:bCs/>
          <w:color w:val="auto"/>
          <w:sz w:val="26"/>
          <w:szCs w:val="26"/>
        </w:rPr>
        <w:t>4.1. по результатам</w:t>
      </w:r>
      <w:r w:rsidRPr="00886466">
        <w:rPr>
          <w:color w:val="auto"/>
          <w:sz w:val="26"/>
          <w:szCs w:val="26"/>
        </w:rPr>
        <w:t xml:space="preserve"> полученных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 или  по итогам признания студента победителем или призером проводимых НИУ ВШЭ, иными организациями, осуществляющими образовательную деятельность, общественными и </w:t>
      </w:r>
      <w:r w:rsidRPr="00886466">
        <w:rPr>
          <w:color w:val="auto"/>
          <w:sz w:val="26"/>
          <w:szCs w:val="26"/>
        </w:rPr>
        <w:lastRenderedPageBreak/>
        <w:t>научными организациями международной, всероссийской, ведомственной или региональной олимпиады</w:t>
      </w:r>
      <w:r w:rsidRPr="00886466">
        <w:rPr>
          <w:rStyle w:val="ac"/>
          <w:color w:val="auto"/>
          <w:sz w:val="26"/>
          <w:szCs w:val="26"/>
        </w:rPr>
        <w:footnoteReference w:id="14"/>
      </w:r>
      <w:r w:rsidRPr="00886466">
        <w:rPr>
          <w:color w:val="auto"/>
          <w:sz w:val="26"/>
          <w:szCs w:val="26"/>
        </w:rPr>
        <w:t>, конкурса, соревнования, состязания и иных мероприятий, направленных на выявление учебных</w:t>
      </w:r>
      <w:proofErr w:type="gramEnd"/>
      <w:r w:rsidRPr="00886466">
        <w:rPr>
          <w:color w:val="auto"/>
          <w:sz w:val="26"/>
          <w:szCs w:val="26"/>
        </w:rPr>
        <w:t xml:space="preserve">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86466">
        <w:rPr>
          <w:rStyle w:val="ac"/>
          <w:bCs/>
          <w:color w:val="auto"/>
          <w:sz w:val="26"/>
          <w:szCs w:val="26"/>
        </w:rPr>
        <w:footnoteReference w:id="15"/>
      </w:r>
      <w:r w:rsidRPr="00886466">
        <w:rPr>
          <w:color w:val="auto"/>
          <w:sz w:val="26"/>
          <w:szCs w:val="26"/>
        </w:rPr>
        <w:t>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4.2. по результатам академической успеваемости студента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стипендии.</w:t>
      </w:r>
    </w:p>
    <w:p w:rsidR="00886466" w:rsidRPr="00886466" w:rsidRDefault="00096D3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5. Количество </w:t>
      </w:r>
      <w:r w:rsidRPr="00886466">
        <w:rPr>
          <w:bCs/>
          <w:color w:val="auto"/>
          <w:sz w:val="26"/>
          <w:szCs w:val="26"/>
        </w:rPr>
        <w:t xml:space="preserve">повышенных государственных академических стипендий </w:t>
      </w:r>
      <w:r w:rsidRPr="00886466">
        <w:rPr>
          <w:color w:val="auto"/>
          <w:sz w:val="26"/>
          <w:szCs w:val="26"/>
        </w:rPr>
        <w:t>за достижения в учебной деятельности, распределяемых по итогам каждой из конкурсных процедур, определенных в пункте 4, определяет Общеуниверситетская стипендиальная комиссия.</w:t>
      </w:r>
    </w:p>
    <w:p w:rsidR="00096D36" w:rsidRPr="00886466" w:rsidRDefault="0088646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6. </w:t>
      </w:r>
      <w:r w:rsidR="00096D36" w:rsidRPr="00886466">
        <w:rPr>
          <w:color w:val="auto"/>
          <w:sz w:val="26"/>
          <w:szCs w:val="26"/>
        </w:rPr>
        <w:t xml:space="preserve">Критерии оценки деятельности студента, претендующего на повышенную государственную академическую стипендию за достижения в учебной деятельности, в рамках конкурсной процедуры, </w:t>
      </w:r>
      <w:r w:rsidR="00806576" w:rsidRPr="00886466">
        <w:rPr>
          <w:color w:val="auto"/>
          <w:sz w:val="26"/>
          <w:szCs w:val="26"/>
        </w:rPr>
        <w:t>установленной</w:t>
      </w:r>
      <w:r w:rsidR="00096D36" w:rsidRPr="00886466">
        <w:rPr>
          <w:color w:val="auto"/>
          <w:sz w:val="26"/>
          <w:szCs w:val="26"/>
        </w:rPr>
        <w:t xml:space="preserve"> в п</w:t>
      </w:r>
      <w:r w:rsidR="00806576" w:rsidRPr="00886466">
        <w:rPr>
          <w:color w:val="auto"/>
          <w:sz w:val="26"/>
          <w:szCs w:val="26"/>
        </w:rPr>
        <w:t>ункте</w:t>
      </w:r>
      <w:r w:rsidR="00096D36" w:rsidRPr="00886466">
        <w:rPr>
          <w:color w:val="auto"/>
          <w:sz w:val="26"/>
          <w:szCs w:val="26"/>
        </w:rPr>
        <w:t xml:space="preserve"> 4.1</w:t>
      </w:r>
    </w:p>
    <w:p w:rsidR="00806576" w:rsidRPr="00886466" w:rsidRDefault="00806576" w:rsidP="00876641">
      <w:pPr>
        <w:jc w:val="center"/>
        <w:rPr>
          <w:color w:val="auto"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2"/>
        <w:gridCol w:w="2409"/>
        <w:gridCol w:w="1984"/>
      </w:tblGrid>
      <w:tr w:rsidR="00886466" w:rsidRPr="00886466" w:rsidTr="00096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0657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86466">
            <w:pPr>
              <w:ind w:left="32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886466" w:rsidRPr="00886466" w:rsidTr="00096D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Получение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</w:tr>
      <w:tr w:rsidR="00886466" w:rsidRPr="00886466" w:rsidTr="00096D3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ind w:firstLine="709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Признание победителем или призером международной или всероссийской олимпиады, конкурса, соревнования, состязания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Призер </w:t>
            </w: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(2-3 место)</w:t>
            </w:r>
          </w:p>
        </w:tc>
      </w:tr>
      <w:tr w:rsidR="00886466" w:rsidRPr="00886466" w:rsidTr="00096D36">
        <w:trPr>
          <w:trHeight w:val="12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886466" w:rsidRPr="00886466" w:rsidRDefault="00886466" w:rsidP="00886466">
      <w:pPr>
        <w:rPr>
          <w:color w:val="auto"/>
          <w:sz w:val="26"/>
          <w:szCs w:val="26"/>
        </w:rPr>
      </w:pPr>
    </w:p>
    <w:p w:rsidR="00096D36" w:rsidRPr="00886466" w:rsidRDefault="00886466" w:rsidP="00876641">
      <w:pPr>
        <w:pStyle w:val="af9"/>
        <w:spacing w:before="0" w:after="0"/>
        <w:ind w:firstLine="567"/>
        <w:jc w:val="both"/>
        <w:rPr>
          <w:bCs/>
          <w:sz w:val="26"/>
          <w:szCs w:val="26"/>
        </w:rPr>
      </w:pPr>
      <w:r w:rsidRPr="00886466">
        <w:rPr>
          <w:bCs/>
          <w:sz w:val="26"/>
          <w:szCs w:val="26"/>
        </w:rPr>
        <w:t>7</w:t>
      </w:r>
      <w:r w:rsidR="00096D36" w:rsidRPr="00886466">
        <w:rPr>
          <w:bCs/>
          <w:sz w:val="26"/>
          <w:szCs w:val="26"/>
        </w:rPr>
        <w:t xml:space="preserve">. </w:t>
      </w:r>
      <w:proofErr w:type="gramStart"/>
      <w:r w:rsidR="00096D36" w:rsidRPr="00886466">
        <w:rPr>
          <w:bCs/>
          <w:sz w:val="26"/>
          <w:szCs w:val="26"/>
        </w:rPr>
        <w:t xml:space="preserve">Критерием назначения </w:t>
      </w:r>
      <w:r w:rsidR="00CA459D" w:rsidRPr="00886466">
        <w:rPr>
          <w:sz w:val="26"/>
          <w:szCs w:val="26"/>
        </w:rPr>
        <w:t>повышенн</w:t>
      </w:r>
      <w:r w:rsidR="00CA459D">
        <w:rPr>
          <w:sz w:val="26"/>
          <w:szCs w:val="26"/>
        </w:rPr>
        <w:t>ой государственной</w:t>
      </w:r>
      <w:r w:rsidR="00CA459D" w:rsidRPr="00886466">
        <w:rPr>
          <w:sz w:val="26"/>
          <w:szCs w:val="26"/>
        </w:rPr>
        <w:t xml:space="preserve"> академическ</w:t>
      </w:r>
      <w:r w:rsidR="00CA459D">
        <w:rPr>
          <w:sz w:val="26"/>
          <w:szCs w:val="26"/>
        </w:rPr>
        <w:t>ой</w:t>
      </w:r>
      <w:r w:rsidR="00CA459D" w:rsidRPr="00886466">
        <w:rPr>
          <w:sz w:val="26"/>
          <w:szCs w:val="26"/>
        </w:rPr>
        <w:t xml:space="preserve"> стипенди</w:t>
      </w:r>
      <w:r w:rsidR="00096D36" w:rsidRPr="00886466">
        <w:rPr>
          <w:bCs/>
          <w:sz w:val="26"/>
          <w:szCs w:val="26"/>
        </w:rPr>
        <w:t xml:space="preserve">и </w:t>
      </w:r>
      <w:r w:rsidR="00CA459D" w:rsidRPr="00886466">
        <w:rPr>
          <w:sz w:val="26"/>
          <w:szCs w:val="26"/>
        </w:rPr>
        <w:t>за достижения в учебной деятельности в рамках конкурсной процедуры, установленной в пункте 4.2</w:t>
      </w:r>
      <w:r w:rsidR="00CA459D">
        <w:rPr>
          <w:sz w:val="26"/>
          <w:szCs w:val="26"/>
        </w:rPr>
        <w:t xml:space="preserve">, </w:t>
      </w:r>
      <w:r w:rsidR="00096D36" w:rsidRPr="00886466">
        <w:rPr>
          <w:bCs/>
          <w:sz w:val="26"/>
          <w:szCs w:val="26"/>
        </w:rPr>
        <w:t>является значение скорректированного среднего балла студента до пересдач</w:t>
      </w:r>
      <w:r w:rsidR="00096D36" w:rsidRPr="00886466">
        <w:rPr>
          <w:sz w:val="26"/>
          <w:szCs w:val="26"/>
        </w:rPr>
        <w:t xml:space="preserve"> в течение двух следующих друг за другом промежуточных аттестаций, предшествующих назначению повышенной государственной академической стипендии</w:t>
      </w:r>
      <w:r w:rsidR="00096D36" w:rsidRPr="00886466">
        <w:rPr>
          <w:bCs/>
          <w:sz w:val="26"/>
          <w:szCs w:val="26"/>
        </w:rPr>
        <w:t xml:space="preserve">, который рассчитывается на основе перемножения среднего балла студента на коэффициент нормировки </w:t>
      </w:r>
      <w:r w:rsidR="003C3AD5" w:rsidRPr="00886466">
        <w:rPr>
          <w:bCs/>
          <w:sz w:val="26"/>
          <w:szCs w:val="26"/>
        </w:rPr>
        <w:t xml:space="preserve">курса </w:t>
      </w:r>
      <w:r w:rsidR="00096D36" w:rsidRPr="00886466">
        <w:rPr>
          <w:bCs/>
          <w:sz w:val="26"/>
          <w:szCs w:val="26"/>
        </w:rPr>
        <w:t>образовательной программы (группы образовательных программ) по</w:t>
      </w:r>
      <w:proofErr w:type="gramEnd"/>
      <w:r w:rsidR="00096D36" w:rsidRPr="00886466">
        <w:rPr>
          <w:bCs/>
          <w:sz w:val="26"/>
          <w:szCs w:val="26"/>
        </w:rPr>
        <w:t xml:space="preserve"> формуле: </w:t>
      </w:r>
    </w:p>
    <w:p w:rsidR="00CA459D" w:rsidRDefault="00096D36" w:rsidP="00876641">
      <w:pPr>
        <w:pStyle w:val="af9"/>
        <w:spacing w:before="0" w:after="0"/>
        <w:ind w:firstLine="567"/>
        <w:jc w:val="center"/>
        <w:rPr>
          <w:i/>
          <w:sz w:val="26"/>
          <w:szCs w:val="26"/>
          <w:vertAlign w:val="subscript"/>
        </w:rPr>
      </w:pPr>
      <w:r w:rsidRPr="00CA459D">
        <w:rPr>
          <w:i/>
          <w:sz w:val="26"/>
          <w:szCs w:val="26"/>
          <w:lang w:val="en-US"/>
        </w:rPr>
        <w:t>Score</w:t>
      </w:r>
      <w:r w:rsidRPr="00886466">
        <w:rPr>
          <w:i/>
          <w:sz w:val="26"/>
          <w:szCs w:val="26"/>
        </w:rPr>
        <w:t xml:space="preserve"> = </w:t>
      </w:r>
      <w:r w:rsidRPr="00886466">
        <w:rPr>
          <w:i/>
          <w:sz w:val="26"/>
          <w:szCs w:val="26"/>
          <w:lang w:val="en-US"/>
        </w:rPr>
        <w:t>K</w:t>
      </w:r>
      <w:r w:rsidRPr="00886466">
        <w:rPr>
          <w:i/>
          <w:sz w:val="26"/>
          <w:szCs w:val="26"/>
        </w:rPr>
        <w:t xml:space="preserve"> </w:t>
      </w:r>
      <w:r w:rsidRPr="00886466">
        <w:rPr>
          <w:i/>
          <w:sz w:val="26"/>
          <w:szCs w:val="26"/>
          <w:vertAlign w:val="subscript"/>
        </w:rPr>
        <w:t>*</w:t>
      </w:r>
      <w:r w:rsidRPr="00886466">
        <w:rPr>
          <w:i/>
          <w:sz w:val="26"/>
          <w:szCs w:val="26"/>
        </w:rPr>
        <w:t xml:space="preserve"> </w:t>
      </w:r>
      <w:proofErr w:type="spellStart"/>
      <w:r w:rsidRPr="00886466">
        <w:rPr>
          <w:i/>
          <w:sz w:val="26"/>
          <w:szCs w:val="26"/>
          <w:lang w:val="en-US"/>
        </w:rPr>
        <w:t>Score</w:t>
      </w:r>
      <w:r w:rsidRPr="00886466">
        <w:rPr>
          <w:i/>
          <w:sz w:val="26"/>
          <w:szCs w:val="26"/>
          <w:vertAlign w:val="subscript"/>
          <w:lang w:val="en-US"/>
        </w:rPr>
        <w:t>average</w:t>
      </w:r>
      <w:proofErr w:type="spellEnd"/>
      <w:r w:rsidRPr="00886466">
        <w:rPr>
          <w:i/>
          <w:sz w:val="26"/>
          <w:szCs w:val="26"/>
          <w:vertAlign w:val="subscript"/>
        </w:rPr>
        <w:t xml:space="preserve">,      </w:t>
      </w:r>
    </w:p>
    <w:p w:rsidR="00096D36" w:rsidRPr="00886466" w:rsidRDefault="00096D36" w:rsidP="00CA459D">
      <w:pPr>
        <w:pStyle w:val="af9"/>
        <w:spacing w:before="0" w:after="0"/>
        <w:rPr>
          <w:i/>
          <w:sz w:val="26"/>
          <w:szCs w:val="26"/>
        </w:rPr>
      </w:pPr>
      <w:r w:rsidRPr="00886466">
        <w:rPr>
          <w:sz w:val="26"/>
          <w:szCs w:val="26"/>
        </w:rPr>
        <w:t>где</w:t>
      </w:r>
      <w:r w:rsidR="00CA459D">
        <w:rPr>
          <w:sz w:val="26"/>
          <w:szCs w:val="26"/>
        </w:rPr>
        <w:t xml:space="preserve"> </w:t>
      </w:r>
      <w:r w:rsidRPr="00CA459D">
        <w:rPr>
          <w:i/>
          <w:sz w:val="26"/>
          <w:szCs w:val="26"/>
          <w:lang w:val="en-US"/>
        </w:rPr>
        <w:t>Score</w:t>
      </w:r>
      <w:r w:rsidRPr="00CA459D">
        <w:rPr>
          <w:i/>
          <w:sz w:val="26"/>
          <w:szCs w:val="26"/>
        </w:rPr>
        <w:t xml:space="preserve"> </w:t>
      </w:r>
      <w:r w:rsidRPr="00886466">
        <w:rPr>
          <w:i/>
          <w:sz w:val="26"/>
          <w:szCs w:val="26"/>
        </w:rPr>
        <w:t xml:space="preserve">‒ </w:t>
      </w:r>
      <w:r w:rsidRPr="00886466">
        <w:rPr>
          <w:bCs/>
          <w:sz w:val="26"/>
          <w:szCs w:val="26"/>
        </w:rPr>
        <w:t>скорректированный средний балл студента</w:t>
      </w:r>
      <w:r w:rsidRPr="00CA459D">
        <w:rPr>
          <w:sz w:val="26"/>
          <w:szCs w:val="26"/>
        </w:rPr>
        <w:t>;</w:t>
      </w:r>
    </w:p>
    <w:p w:rsidR="00096D36" w:rsidRPr="00886466" w:rsidRDefault="00096D36" w:rsidP="00876641">
      <w:pPr>
        <w:pStyle w:val="af9"/>
        <w:spacing w:before="0" w:after="0"/>
        <w:jc w:val="both"/>
        <w:rPr>
          <w:i/>
          <w:sz w:val="26"/>
          <w:szCs w:val="26"/>
        </w:rPr>
      </w:pPr>
      <w:proofErr w:type="spellStart"/>
      <w:r w:rsidRPr="00886466">
        <w:rPr>
          <w:i/>
          <w:sz w:val="26"/>
          <w:szCs w:val="26"/>
          <w:lang w:val="en-US"/>
        </w:rPr>
        <w:lastRenderedPageBreak/>
        <w:t>Score</w:t>
      </w:r>
      <w:r w:rsidRPr="00886466">
        <w:rPr>
          <w:i/>
          <w:sz w:val="26"/>
          <w:szCs w:val="26"/>
          <w:vertAlign w:val="subscript"/>
          <w:lang w:val="en-US"/>
        </w:rPr>
        <w:t>average</w:t>
      </w:r>
      <w:proofErr w:type="spellEnd"/>
      <w:r w:rsidRPr="00886466">
        <w:rPr>
          <w:i/>
          <w:sz w:val="26"/>
          <w:szCs w:val="26"/>
        </w:rPr>
        <w:t xml:space="preserve"> ‒ </w:t>
      </w:r>
      <w:r w:rsidRPr="00886466">
        <w:rPr>
          <w:sz w:val="26"/>
          <w:szCs w:val="26"/>
        </w:rPr>
        <w:t xml:space="preserve">средний балл студента </w:t>
      </w:r>
      <w:r w:rsidRPr="00886466">
        <w:rPr>
          <w:bCs/>
          <w:sz w:val="26"/>
          <w:szCs w:val="26"/>
        </w:rPr>
        <w:t>до пересдач</w:t>
      </w:r>
      <w:r w:rsidRPr="00886466">
        <w:rPr>
          <w:sz w:val="26"/>
          <w:szCs w:val="26"/>
        </w:rPr>
        <w:t xml:space="preserve"> в течение двух следующих друг за другом промежуточных аттестаций, предшествующих назначению повышенной государственной академической стипендии</w:t>
      </w:r>
      <w:r w:rsidRPr="00CA459D">
        <w:rPr>
          <w:sz w:val="26"/>
          <w:szCs w:val="26"/>
        </w:rPr>
        <w:t>;</w:t>
      </w:r>
    </w:p>
    <w:p w:rsidR="00096D36" w:rsidRPr="00886466" w:rsidRDefault="00096D36" w:rsidP="00876641">
      <w:pPr>
        <w:pStyle w:val="af9"/>
        <w:spacing w:before="0" w:after="0"/>
        <w:jc w:val="both"/>
        <w:rPr>
          <w:i/>
          <w:sz w:val="26"/>
          <w:szCs w:val="26"/>
        </w:rPr>
      </w:pPr>
      <w:r w:rsidRPr="00886466">
        <w:rPr>
          <w:i/>
          <w:sz w:val="26"/>
          <w:szCs w:val="26"/>
          <w:lang w:val="en-US"/>
        </w:rPr>
        <w:t>K</w:t>
      </w:r>
      <w:r w:rsidRPr="00886466">
        <w:rPr>
          <w:i/>
          <w:sz w:val="26"/>
          <w:szCs w:val="26"/>
        </w:rPr>
        <w:t xml:space="preserve"> – </w:t>
      </w:r>
      <w:proofErr w:type="gramStart"/>
      <w:r w:rsidRPr="00886466">
        <w:rPr>
          <w:sz w:val="26"/>
          <w:szCs w:val="26"/>
        </w:rPr>
        <w:t>коэффициент</w:t>
      </w:r>
      <w:proofErr w:type="gramEnd"/>
      <w:r w:rsidRPr="00886466">
        <w:rPr>
          <w:sz w:val="26"/>
          <w:szCs w:val="26"/>
        </w:rPr>
        <w:t xml:space="preserve"> нормировки </w:t>
      </w:r>
      <w:r w:rsidR="003C3AD5" w:rsidRPr="00886466">
        <w:rPr>
          <w:sz w:val="26"/>
          <w:szCs w:val="26"/>
        </w:rPr>
        <w:t xml:space="preserve">курса </w:t>
      </w:r>
      <w:r w:rsidRPr="00886466">
        <w:rPr>
          <w:sz w:val="26"/>
          <w:szCs w:val="26"/>
        </w:rPr>
        <w:t>образовательной программы (группы образовательных программ).</w:t>
      </w:r>
    </w:p>
    <w:p w:rsidR="00096D36" w:rsidRPr="00886466" w:rsidRDefault="00886466" w:rsidP="00876641">
      <w:pPr>
        <w:pStyle w:val="af9"/>
        <w:spacing w:before="0" w:after="0"/>
        <w:ind w:firstLine="567"/>
        <w:jc w:val="both"/>
        <w:rPr>
          <w:sz w:val="26"/>
          <w:szCs w:val="26"/>
        </w:rPr>
      </w:pPr>
      <w:r w:rsidRPr="00886466">
        <w:rPr>
          <w:sz w:val="26"/>
          <w:szCs w:val="26"/>
        </w:rPr>
        <w:t>7.</w:t>
      </w:r>
      <w:r w:rsidR="00304F47">
        <w:rPr>
          <w:sz w:val="26"/>
          <w:szCs w:val="26"/>
        </w:rPr>
        <w:t>1</w:t>
      </w:r>
      <w:r w:rsidR="00096D36" w:rsidRPr="00886466">
        <w:rPr>
          <w:sz w:val="26"/>
          <w:szCs w:val="26"/>
        </w:rPr>
        <w:t xml:space="preserve">.  Коэффициент нормировки </w:t>
      </w:r>
      <w:r w:rsidR="003C3AD5" w:rsidRPr="00886466">
        <w:rPr>
          <w:sz w:val="26"/>
          <w:szCs w:val="26"/>
        </w:rPr>
        <w:t xml:space="preserve">курса </w:t>
      </w:r>
      <w:r w:rsidR="00096D36" w:rsidRPr="00886466">
        <w:rPr>
          <w:sz w:val="26"/>
          <w:szCs w:val="26"/>
        </w:rPr>
        <w:t xml:space="preserve">образовательной программы (группы образовательных программ) определяется на основе сравнения среднего балла студентов, входящих в первые 25% текущего рейтинга до пересдач данного курса образовательной программы (группы образовательных программ), </w:t>
      </w:r>
      <w:proofErr w:type="gramStart"/>
      <w:r w:rsidR="00096D36" w:rsidRPr="00886466">
        <w:rPr>
          <w:sz w:val="26"/>
          <w:szCs w:val="26"/>
        </w:rPr>
        <w:t>студентом</w:t>
      </w:r>
      <w:proofErr w:type="gramEnd"/>
      <w:r w:rsidR="00096D36" w:rsidRPr="00886466">
        <w:rPr>
          <w:sz w:val="26"/>
          <w:szCs w:val="26"/>
        </w:rPr>
        <w:t xml:space="preserve"> которого является претендент на получение повышенной государственной академической стипендии, с максимальным значением среднего балла студентов, входящих в первые 25% текущего рейтинга до пересдач всех курсов всех образовательных программ (групп образовательных программ), студенты которых участвуют в конкурсе по формуле: </w:t>
      </w:r>
    </w:p>
    <w:p w:rsidR="00096D36" w:rsidRPr="00886466" w:rsidRDefault="00981DBD" w:rsidP="00876641">
      <w:pPr>
        <w:pStyle w:val="af9"/>
        <w:spacing w:before="0" w:after="0"/>
        <w:jc w:val="center"/>
        <w:rPr>
          <w:sz w:val="26"/>
          <w:szCs w:val="26"/>
          <w:vertAlign w:val="subscript"/>
        </w:rPr>
      </w:pPr>
      <m:oMath>
        <m:r>
          <w:rPr>
            <w:rFonts w:ascii="Cambria Math" w:hAnsi="Cambria Math"/>
            <w:sz w:val="26"/>
            <w:szCs w:val="26"/>
            <w:vertAlign w:val="subscript"/>
          </w:rPr>
          <m:t>K</m:t>
        </m:r>
        <m:r>
          <w:rPr>
            <w:rFonts w:ascii="Cambria Math" w:hAnsi="Cambria Math"/>
            <w:sz w:val="26"/>
            <w:szCs w:val="26"/>
            <w:vertAlign w:val="subscript"/>
            <w:lang w:val="en-US"/>
          </w:rPr>
          <m:t>i</m:t>
        </m:r>
        <m:r>
          <w:rPr>
            <w:rFonts w:ascii="Cambria Math" w:hAnsi="Cambria Math"/>
            <w:sz w:val="26"/>
            <w:szCs w:val="26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Score</m:t>
            </m:r>
            <m:r>
              <w:rPr>
                <w:rFonts w:ascii="Cambria Math" w:hAnsi="Cambria Math"/>
                <w:sz w:val="26"/>
                <w:szCs w:val="26"/>
                <w:vertAlign w:val="subscript"/>
              </w:rPr>
              <m:t xml:space="preserve"> (</m:t>
            </m:r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max</m:t>
            </m:r>
            <m:r>
              <w:rPr>
                <w:rFonts w:ascii="Cambria Math" w:hAnsi="Cambria Math"/>
                <w:sz w:val="26"/>
                <w:szCs w:val="26"/>
                <w:vertAlign w:val="subscript"/>
              </w:rPr>
              <m:t>)</m:t>
            </m:r>
          </m:num>
          <m:den>
            <m:r>
              <w:rPr>
                <w:rFonts w:ascii="Cambria Math" w:hAnsi="Cambria Math"/>
                <w:sz w:val="26"/>
                <w:szCs w:val="26"/>
                <w:vertAlign w:val="subscript"/>
              </w:rPr>
              <m:t>Score i</m:t>
            </m:r>
          </m:den>
        </m:f>
      </m:oMath>
      <w:r w:rsidR="00096D36" w:rsidRPr="00886466">
        <w:rPr>
          <w:sz w:val="26"/>
          <w:szCs w:val="26"/>
          <w:vertAlign w:val="subscript"/>
        </w:rPr>
        <w:t xml:space="preserve"> </w:t>
      </w:r>
      <w:r w:rsidR="00096D36" w:rsidRPr="00886466">
        <w:rPr>
          <w:sz w:val="26"/>
          <w:szCs w:val="26"/>
        </w:rPr>
        <w:t>, где</w:t>
      </w:r>
    </w:p>
    <w:p w:rsidR="00096D36" w:rsidRPr="00886466" w:rsidRDefault="00096D36" w:rsidP="00876641">
      <w:pPr>
        <w:pStyle w:val="af9"/>
        <w:spacing w:before="0" w:after="0"/>
        <w:jc w:val="both"/>
        <w:rPr>
          <w:sz w:val="26"/>
          <w:szCs w:val="26"/>
        </w:rPr>
      </w:pPr>
      <w:r w:rsidRPr="00886466">
        <w:rPr>
          <w:i/>
          <w:sz w:val="26"/>
          <w:szCs w:val="26"/>
          <w:lang w:val="en-US"/>
        </w:rPr>
        <w:t>K</w:t>
      </w:r>
      <w:r w:rsidRPr="00CA459D">
        <w:rPr>
          <w:i/>
          <w:sz w:val="26"/>
          <w:szCs w:val="26"/>
          <w:vertAlign w:val="subscript"/>
          <w:lang w:val="en-US"/>
        </w:rPr>
        <w:t>i</w:t>
      </w:r>
      <w:r w:rsidRPr="00886466">
        <w:rPr>
          <w:sz w:val="26"/>
          <w:szCs w:val="26"/>
        </w:rPr>
        <w:t xml:space="preserve"> ‒ коэффициент нормировки </w:t>
      </w:r>
      <w:r w:rsidR="003C3AD5" w:rsidRPr="00886466">
        <w:rPr>
          <w:sz w:val="26"/>
          <w:szCs w:val="26"/>
        </w:rPr>
        <w:t xml:space="preserve">курса </w:t>
      </w:r>
      <w:r w:rsidRPr="00886466">
        <w:rPr>
          <w:sz w:val="26"/>
          <w:szCs w:val="26"/>
        </w:rPr>
        <w:t xml:space="preserve">образовательной программы (группы образовательных программ) </w:t>
      </w:r>
      <w:proofErr w:type="spellStart"/>
      <w:r w:rsidRPr="00886466">
        <w:rPr>
          <w:i/>
          <w:sz w:val="26"/>
          <w:szCs w:val="26"/>
          <w:lang w:val="en-US"/>
        </w:rPr>
        <w:t>i</w:t>
      </w:r>
      <w:proofErr w:type="spellEnd"/>
      <w:r w:rsidRPr="00886466">
        <w:rPr>
          <w:sz w:val="26"/>
          <w:szCs w:val="26"/>
        </w:rPr>
        <w:t xml:space="preserve">; </w:t>
      </w:r>
    </w:p>
    <w:p w:rsidR="00096D36" w:rsidRPr="00886466" w:rsidRDefault="00096D36" w:rsidP="00876641">
      <w:pPr>
        <w:pStyle w:val="af9"/>
        <w:spacing w:before="0" w:after="0"/>
        <w:jc w:val="both"/>
        <w:rPr>
          <w:sz w:val="26"/>
          <w:szCs w:val="26"/>
        </w:rPr>
      </w:pPr>
      <w:r w:rsidRPr="00886466">
        <w:rPr>
          <w:i/>
          <w:sz w:val="26"/>
          <w:szCs w:val="26"/>
          <w:lang w:val="en-US"/>
        </w:rPr>
        <w:t>S</w:t>
      </w:r>
      <w:r w:rsidRPr="00CA459D">
        <w:rPr>
          <w:i/>
          <w:sz w:val="26"/>
          <w:szCs w:val="26"/>
          <w:lang w:val="en-US"/>
        </w:rPr>
        <w:t>core</w:t>
      </w:r>
      <w:r w:rsidRPr="00886466">
        <w:rPr>
          <w:i/>
          <w:sz w:val="26"/>
          <w:szCs w:val="26"/>
        </w:rPr>
        <w:t xml:space="preserve"> (</w:t>
      </w:r>
      <w:r w:rsidRPr="00886466">
        <w:rPr>
          <w:i/>
          <w:sz w:val="26"/>
          <w:szCs w:val="26"/>
          <w:lang w:val="en-US"/>
        </w:rPr>
        <w:t>max</w:t>
      </w:r>
      <w:r w:rsidRPr="00886466">
        <w:rPr>
          <w:i/>
          <w:sz w:val="26"/>
          <w:szCs w:val="26"/>
        </w:rPr>
        <w:t xml:space="preserve">) – </w:t>
      </w:r>
      <w:r w:rsidRPr="00886466">
        <w:rPr>
          <w:sz w:val="26"/>
          <w:szCs w:val="26"/>
        </w:rPr>
        <w:t>максимальное значение среднего балла студентов, входящих в первые 25% текущего рейтинга до пересдач всех курсов всех образовательных программ (групп образовательных программ);</w:t>
      </w:r>
    </w:p>
    <w:p w:rsidR="00096D36" w:rsidRPr="00886466" w:rsidRDefault="00096D36" w:rsidP="00876641">
      <w:pPr>
        <w:pStyle w:val="af9"/>
        <w:spacing w:before="0" w:after="0"/>
        <w:jc w:val="both"/>
        <w:rPr>
          <w:sz w:val="26"/>
          <w:szCs w:val="26"/>
        </w:rPr>
      </w:pPr>
      <w:r w:rsidRPr="00886466">
        <w:rPr>
          <w:i/>
          <w:sz w:val="26"/>
          <w:szCs w:val="26"/>
          <w:lang w:val="en-US"/>
        </w:rPr>
        <w:t>Score</w:t>
      </w:r>
      <w:r w:rsidRPr="00886466">
        <w:rPr>
          <w:i/>
          <w:sz w:val="26"/>
          <w:szCs w:val="26"/>
        </w:rPr>
        <w:t xml:space="preserve"> </w:t>
      </w:r>
      <w:r w:rsidRPr="00886466">
        <w:rPr>
          <w:i/>
          <w:sz w:val="26"/>
          <w:szCs w:val="26"/>
          <w:lang w:val="en-US"/>
        </w:rPr>
        <w:t>x</w:t>
      </w:r>
      <w:r w:rsidRPr="00886466">
        <w:rPr>
          <w:i/>
          <w:sz w:val="26"/>
          <w:szCs w:val="26"/>
        </w:rPr>
        <w:t xml:space="preserve"> – </w:t>
      </w:r>
      <w:r w:rsidRPr="00886466">
        <w:rPr>
          <w:sz w:val="26"/>
          <w:szCs w:val="26"/>
        </w:rPr>
        <w:t>средний балл студентов, входящих в первые 25% текущего рейтинга до пересдач данного курса образовательной программы (группы образовательных программ), студентом которого является претендент на получение повышенной государственной академической стипендии,</w:t>
      </w:r>
    </w:p>
    <w:p w:rsidR="00096D36" w:rsidRPr="00886466" w:rsidRDefault="00096D36" w:rsidP="00876641">
      <w:pPr>
        <w:ind w:firstLine="709"/>
        <w:jc w:val="both"/>
        <w:rPr>
          <w:color w:val="auto"/>
          <w:sz w:val="26"/>
          <w:szCs w:val="26"/>
        </w:rPr>
      </w:pPr>
    </w:p>
    <w:p w:rsidR="00096D36" w:rsidRPr="00886466" w:rsidRDefault="00096D36">
      <w:pPr>
        <w:suppressAutoHyphens w:val="0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br w:type="page"/>
      </w:r>
    </w:p>
    <w:p w:rsidR="00096D36" w:rsidRPr="00886466" w:rsidRDefault="00096D36" w:rsidP="00557CF0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kern w:val="0"/>
          <w:sz w:val="26"/>
          <w:szCs w:val="26"/>
          <w:lang w:eastAsia="ru-RU"/>
        </w:rPr>
      </w:pPr>
      <w:r w:rsidRPr="00886466">
        <w:rPr>
          <w:bCs/>
          <w:color w:val="auto"/>
          <w:sz w:val="26"/>
          <w:szCs w:val="26"/>
        </w:rPr>
        <w:lastRenderedPageBreak/>
        <w:t>Приложение</w:t>
      </w:r>
      <w:r w:rsidRPr="00886466">
        <w:rPr>
          <w:color w:val="auto"/>
          <w:sz w:val="26"/>
          <w:szCs w:val="26"/>
        </w:rPr>
        <w:t xml:space="preserve"> № 3</w:t>
      </w:r>
    </w:p>
    <w:p w:rsidR="00096D36" w:rsidRPr="00886466" w:rsidRDefault="00096D36" w:rsidP="00557CF0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886466">
        <w:rPr>
          <w:bCs/>
          <w:color w:val="auto"/>
          <w:sz w:val="26"/>
          <w:szCs w:val="26"/>
        </w:rPr>
        <w:t>материальной</w:t>
      </w:r>
      <w:proofErr w:type="gramEnd"/>
      <w:r w:rsidRPr="00886466">
        <w:rPr>
          <w:bCs/>
          <w:color w:val="auto"/>
          <w:sz w:val="26"/>
          <w:szCs w:val="26"/>
        </w:rPr>
        <w:t xml:space="preserve"> поддержки </w:t>
      </w:r>
    </w:p>
    <w:p w:rsidR="00096D36" w:rsidRPr="00886466" w:rsidRDefault="00096D36" w:rsidP="00557CF0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 НИУ ВШЭ</w:t>
      </w:r>
    </w:p>
    <w:p w:rsidR="00096D36" w:rsidRPr="00886466" w:rsidRDefault="00096D36" w:rsidP="00876641">
      <w:pPr>
        <w:pStyle w:val="af9"/>
        <w:spacing w:before="0" w:after="0"/>
        <w:ind w:firstLine="709"/>
        <w:jc w:val="center"/>
        <w:rPr>
          <w:bCs/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/>
        <w:jc w:val="center"/>
        <w:rPr>
          <w:sz w:val="26"/>
          <w:szCs w:val="26"/>
        </w:rPr>
      </w:pPr>
      <w:r w:rsidRPr="00886466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886466">
        <w:rPr>
          <w:sz w:val="26"/>
          <w:szCs w:val="26"/>
        </w:rPr>
        <w:t xml:space="preserve"> за достижения в </w:t>
      </w:r>
      <w:r w:rsidRPr="00886466">
        <w:rPr>
          <w:bCs/>
          <w:sz w:val="26"/>
          <w:szCs w:val="26"/>
        </w:rPr>
        <w:t>общественной деятельности</w:t>
      </w:r>
      <w:r w:rsidRPr="00886466">
        <w:rPr>
          <w:sz w:val="26"/>
          <w:szCs w:val="26"/>
        </w:rPr>
        <w:t xml:space="preserve"> </w:t>
      </w:r>
    </w:p>
    <w:p w:rsidR="00096D36" w:rsidRPr="00886466" w:rsidRDefault="00096D36" w:rsidP="00876641">
      <w:pPr>
        <w:pStyle w:val="text"/>
        <w:spacing w:before="0" w:after="0"/>
        <w:ind w:firstLine="709"/>
        <w:jc w:val="both"/>
        <w:rPr>
          <w:sz w:val="26"/>
          <w:szCs w:val="26"/>
        </w:rPr>
      </w:pPr>
    </w:p>
    <w:p w:rsidR="00096D36" w:rsidRPr="00886466" w:rsidRDefault="00876641" w:rsidP="00876641">
      <w:pPr>
        <w:pStyle w:val="af9"/>
        <w:suppressAutoHyphens w:val="0"/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bCs/>
          <w:sz w:val="26"/>
          <w:szCs w:val="26"/>
        </w:rPr>
        <w:t xml:space="preserve">1. </w:t>
      </w:r>
      <w:r w:rsidR="00096D36" w:rsidRPr="00886466">
        <w:rPr>
          <w:bCs/>
          <w:sz w:val="26"/>
          <w:szCs w:val="26"/>
        </w:rPr>
        <w:t>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а)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 ВШЭ или с ее участием, подтверждаемое документально;</w:t>
      </w: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б)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:rsidR="00096D36" w:rsidRPr="00886466" w:rsidRDefault="00876641" w:rsidP="00876641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2. </w:t>
      </w:r>
      <w:r w:rsidR="00096D36" w:rsidRPr="00886466"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="00096D36" w:rsidRPr="00886466">
        <w:rPr>
          <w:bCs/>
          <w:sz w:val="26"/>
          <w:szCs w:val="26"/>
        </w:rPr>
        <w:t>за достижения студента в общественной деятельности</w:t>
      </w:r>
      <w:r w:rsidR="00096D36" w:rsidRPr="00886466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</w:t>
      </w:r>
      <w:r w:rsidR="005D2283" w:rsidRPr="00886466">
        <w:rPr>
          <w:sz w:val="26"/>
          <w:szCs w:val="26"/>
        </w:rPr>
        <w:t>ента критериям, установленным пунктом</w:t>
      </w:r>
      <w:r w:rsidRPr="00886466">
        <w:rPr>
          <w:sz w:val="26"/>
          <w:szCs w:val="26"/>
        </w:rPr>
        <w:t xml:space="preserve"> 1</w:t>
      </w:r>
      <w:r w:rsidR="00096D36" w:rsidRPr="00886466">
        <w:rPr>
          <w:sz w:val="26"/>
          <w:szCs w:val="26"/>
        </w:rPr>
        <w:t>.</w:t>
      </w:r>
    </w:p>
    <w:p w:rsidR="00886466" w:rsidRPr="00886466" w:rsidRDefault="00876641" w:rsidP="00886466">
      <w:pPr>
        <w:pStyle w:val="af9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3. </w:t>
      </w:r>
      <w:r w:rsidR="00096D36" w:rsidRPr="00886466">
        <w:rPr>
          <w:sz w:val="26"/>
          <w:szCs w:val="26"/>
        </w:rPr>
        <w:t>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общественной деятельности уже предоставленные ранее документы.</w:t>
      </w:r>
    </w:p>
    <w:p w:rsidR="00096D36" w:rsidRPr="00886466" w:rsidRDefault="00886466" w:rsidP="00886466">
      <w:pPr>
        <w:pStyle w:val="af9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4. </w:t>
      </w:r>
      <w:r w:rsidR="00096D36" w:rsidRPr="00886466">
        <w:rPr>
          <w:sz w:val="26"/>
          <w:szCs w:val="26"/>
        </w:rPr>
        <w:t>Оценка проектной деятельности студента проводится в зависимости от масштаба проекта и роли претендента на получение повышенной государственной академической стипендии в этом проекте согласно Таблице 1. При расчете итогового количества баллов за проектную деятельность суммируются баллы, полученные студентом за каждый из реализованных проектов.</w:t>
      </w:r>
    </w:p>
    <w:p w:rsidR="00096D36" w:rsidRPr="00886466" w:rsidRDefault="00096D36">
      <w:pPr>
        <w:pStyle w:val="af4"/>
        <w:jc w:val="right"/>
        <w:rPr>
          <w:sz w:val="26"/>
          <w:szCs w:val="26"/>
        </w:rPr>
      </w:pPr>
      <w:r w:rsidRPr="00886466">
        <w:rPr>
          <w:sz w:val="26"/>
          <w:szCs w:val="26"/>
        </w:rPr>
        <w:t>Таблица 1</w:t>
      </w:r>
    </w:p>
    <w:p w:rsidR="00096D36" w:rsidRPr="00886466" w:rsidRDefault="00096D36">
      <w:pPr>
        <w:pStyle w:val="af4"/>
        <w:jc w:val="center"/>
        <w:rPr>
          <w:sz w:val="26"/>
          <w:szCs w:val="26"/>
        </w:rPr>
      </w:pPr>
      <w:r w:rsidRPr="00886466">
        <w:rPr>
          <w:sz w:val="26"/>
          <w:szCs w:val="26"/>
        </w:rPr>
        <w:t>Количество баллов за проектную деятельность</w:t>
      </w:r>
      <w:r w:rsidRPr="00886466">
        <w:rPr>
          <w:rStyle w:val="ac"/>
          <w:sz w:val="26"/>
          <w:szCs w:val="26"/>
        </w:rPr>
        <w:footnoteReference w:id="16"/>
      </w:r>
    </w:p>
    <w:tbl>
      <w:tblPr>
        <w:tblStyle w:val="aff1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1969"/>
        <w:gridCol w:w="2329"/>
        <w:gridCol w:w="2274"/>
      </w:tblGrid>
      <w:tr w:rsidR="00886466" w:rsidRPr="00886466" w:rsidTr="00096D3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Роль претендента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Факультет/</w:t>
            </w:r>
            <w:r w:rsidRPr="00886466">
              <w:rPr>
                <w:color w:val="auto"/>
                <w:sz w:val="26"/>
                <w:szCs w:val="26"/>
              </w:rPr>
              <w:br/>
              <w:t>общежитие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Университет</w:t>
            </w:r>
            <w:r w:rsidRPr="00886466">
              <w:rPr>
                <w:color w:val="auto"/>
                <w:sz w:val="26"/>
                <w:szCs w:val="26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Город и выше</w:t>
            </w:r>
            <w:r w:rsidRPr="00886466">
              <w:rPr>
                <w:color w:val="auto"/>
                <w:sz w:val="26"/>
                <w:szCs w:val="26"/>
              </w:rPr>
              <w:br/>
            </w:r>
          </w:p>
        </w:tc>
      </w:tr>
      <w:tr w:rsidR="00886466" w:rsidRPr="00886466" w:rsidTr="00096D3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1.1. </w:t>
            </w:r>
            <w:r w:rsidR="00096D36" w:rsidRPr="00886466">
              <w:rPr>
                <w:color w:val="auto"/>
                <w:sz w:val="26"/>
                <w:szCs w:val="26"/>
              </w:rPr>
              <w:t>Исполнитель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17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1.25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3.75</w:t>
            </w:r>
          </w:p>
        </w:tc>
      </w:tr>
      <w:tr w:rsidR="00886466" w:rsidRPr="00886466" w:rsidTr="00096D3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1.2. </w:t>
            </w:r>
            <w:r w:rsidR="00096D36" w:rsidRPr="00886466">
              <w:rPr>
                <w:color w:val="auto"/>
                <w:sz w:val="26"/>
                <w:szCs w:val="26"/>
              </w:rPr>
              <w:t>Ведущий исполнитель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18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15</w:t>
            </w:r>
          </w:p>
        </w:tc>
      </w:tr>
      <w:tr w:rsidR="005D2283" w:rsidRPr="00886466" w:rsidTr="00096D3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1.3. </w:t>
            </w:r>
            <w:r w:rsidR="00096D36" w:rsidRPr="00886466">
              <w:rPr>
                <w:color w:val="auto"/>
                <w:sz w:val="26"/>
                <w:szCs w:val="26"/>
              </w:rPr>
              <w:t>Руководитель</w:t>
            </w:r>
            <w:r w:rsidR="00096D36" w:rsidRPr="00886466">
              <w:rPr>
                <w:rStyle w:val="ac"/>
                <w:color w:val="auto"/>
                <w:sz w:val="26"/>
                <w:szCs w:val="26"/>
              </w:rPr>
              <w:footnoteReference w:id="19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6.25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12.5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18.75</w:t>
            </w:r>
          </w:p>
        </w:tc>
      </w:tr>
    </w:tbl>
    <w:p w:rsidR="00096D36" w:rsidRPr="00886466" w:rsidRDefault="00096D36" w:rsidP="00876641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096D36" w:rsidRPr="00886466" w:rsidRDefault="00886466" w:rsidP="00876641">
      <w:pPr>
        <w:suppressAutoHyphens w:val="0"/>
        <w:autoSpaceDE w:val="0"/>
        <w:autoSpaceDN w:val="0"/>
        <w:adjustRightInd w:val="0"/>
        <w:ind w:firstLine="360"/>
        <w:contextualSpacing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5</w:t>
      </w:r>
      <w:r w:rsidR="00876641" w:rsidRPr="00886466">
        <w:rPr>
          <w:color w:val="auto"/>
          <w:sz w:val="26"/>
          <w:szCs w:val="26"/>
        </w:rPr>
        <w:t xml:space="preserve">. </w:t>
      </w:r>
      <w:r w:rsidR="00096D36" w:rsidRPr="00886466">
        <w:rPr>
          <w:color w:val="auto"/>
          <w:sz w:val="26"/>
          <w:szCs w:val="26"/>
        </w:rPr>
        <w:t>Оценка участия претендента на получение повышенной государственной академической стипендии в мероприятиях определяется по формуле:</w:t>
      </w:r>
    </w:p>
    <w:p w:rsidR="00096D36" w:rsidRPr="00886466" w:rsidRDefault="00981DBD" w:rsidP="00876641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роль</m:t>
              </m:r>
            </m:sup>
          </m:sSubSup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длительность</m:t>
              </m:r>
            </m:sup>
          </m:sSubSup>
          <m:sSubSup>
            <m:sSubSupPr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масштаб</m:t>
              </m:r>
            </m:sup>
          </m:sSubSup>
        </m:oMath>
      </m:oMathPara>
    </w:p>
    <w:p w:rsidR="00096D36" w:rsidRPr="00886466" w:rsidRDefault="00981DBD" w:rsidP="00876641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="00096D36" w:rsidRPr="00886466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 w:rsidR="00096D36" w:rsidRPr="00886466">
        <w:rPr>
          <w:color w:val="auto"/>
          <w:sz w:val="26"/>
          <w:szCs w:val="26"/>
        </w:rPr>
        <w:t xml:space="preserve"> участие претендента на получение повышенной государственной академической стипендии в мероприятиях;</w:t>
      </w:r>
    </w:p>
    <w:p w:rsidR="00096D36" w:rsidRPr="00886466" w:rsidRDefault="00557CF0" w:rsidP="00876641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096D36" w:rsidRPr="00886466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096D36" w:rsidRPr="00886466">
        <w:rPr>
          <w:color w:val="auto"/>
          <w:sz w:val="26"/>
          <w:szCs w:val="26"/>
        </w:rPr>
        <w:t xml:space="preserve"> участие в </w:t>
      </w:r>
      <w:proofErr w:type="spellStart"/>
      <w:r w:rsidR="00096D36" w:rsidRPr="00886466">
        <w:rPr>
          <w:i/>
          <w:color w:val="auto"/>
          <w:sz w:val="26"/>
          <w:szCs w:val="26"/>
          <w:lang w:val="en-US"/>
        </w:rPr>
        <w:t>i</w:t>
      </w:r>
      <w:proofErr w:type="spellEnd"/>
      <w:r w:rsidR="00096D36" w:rsidRPr="00886466">
        <w:rPr>
          <w:color w:val="auto"/>
          <w:sz w:val="26"/>
          <w:szCs w:val="26"/>
        </w:rPr>
        <w:t>-ом мероприятии согласно Таблице 2;</w:t>
      </w:r>
    </w:p>
    <w:p w:rsidR="00096D36" w:rsidRPr="00886466" w:rsidRDefault="00557CF0" w:rsidP="00876641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роль</m:t>
            </m:r>
          </m:sup>
        </m:sSubSup>
      </m:oMath>
      <w:r w:rsidR="00096D36" w:rsidRPr="00886466">
        <w:rPr>
          <w:color w:val="auto"/>
          <w:sz w:val="26"/>
          <w:szCs w:val="26"/>
          <w:lang w:eastAsia="en-US"/>
        </w:rPr>
        <w:t xml:space="preserve">  – поправочный коэффициент за роль</w:t>
      </w:r>
      <w:r w:rsidR="00096D36" w:rsidRPr="00886466">
        <w:rPr>
          <w:color w:val="auto"/>
          <w:sz w:val="26"/>
          <w:szCs w:val="26"/>
        </w:rPr>
        <w:t xml:space="preserve"> претендента на получение повышенной государственной академической стипендии в </w:t>
      </w:r>
      <w:proofErr w:type="spellStart"/>
      <w:r w:rsidR="00096D36" w:rsidRPr="00886466">
        <w:rPr>
          <w:i/>
          <w:color w:val="auto"/>
          <w:sz w:val="26"/>
          <w:szCs w:val="26"/>
          <w:lang w:val="en-US"/>
        </w:rPr>
        <w:t>i</w:t>
      </w:r>
      <w:proofErr w:type="spellEnd"/>
      <w:r w:rsidR="00096D36" w:rsidRPr="00886466">
        <w:rPr>
          <w:color w:val="auto"/>
          <w:sz w:val="26"/>
          <w:szCs w:val="26"/>
        </w:rPr>
        <w:t>-ом мероприятии согласно Таблице 3;</w:t>
      </w:r>
    </w:p>
    <w:p w:rsidR="00096D36" w:rsidRPr="00886466" w:rsidRDefault="00557CF0" w:rsidP="00876641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длительность</m:t>
            </m:r>
          </m:sup>
        </m:sSubSup>
      </m:oMath>
      <w:r w:rsidR="00096D36" w:rsidRPr="00886466">
        <w:rPr>
          <w:color w:val="auto"/>
          <w:sz w:val="26"/>
          <w:szCs w:val="26"/>
          <w:lang w:eastAsia="en-US"/>
        </w:rPr>
        <w:t xml:space="preserve">  – поправочный коэффициент за длительность</w:t>
      </w:r>
      <w:r w:rsidR="00096D36" w:rsidRPr="00886466">
        <w:rPr>
          <w:color w:val="auto"/>
          <w:sz w:val="26"/>
          <w:szCs w:val="26"/>
        </w:rPr>
        <w:t xml:space="preserve"> </w:t>
      </w:r>
      <w:proofErr w:type="spellStart"/>
      <w:r w:rsidR="00096D36" w:rsidRPr="00886466">
        <w:rPr>
          <w:i/>
          <w:color w:val="auto"/>
          <w:sz w:val="26"/>
          <w:szCs w:val="26"/>
          <w:lang w:val="en-US"/>
        </w:rPr>
        <w:t>i</w:t>
      </w:r>
      <w:proofErr w:type="spellEnd"/>
      <w:r w:rsidR="00096D36" w:rsidRPr="00886466">
        <w:rPr>
          <w:color w:val="auto"/>
          <w:sz w:val="26"/>
          <w:szCs w:val="26"/>
        </w:rPr>
        <w:t>-го мероприятия согласно Таблице 4;</w:t>
      </w:r>
    </w:p>
    <w:p w:rsidR="00096D36" w:rsidRPr="00886466" w:rsidRDefault="00557CF0" w:rsidP="00876641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роль</m:t>
            </m:r>
          </m:sup>
        </m:sSubSup>
      </m:oMath>
      <w:r w:rsidR="00096D36" w:rsidRPr="00886466">
        <w:rPr>
          <w:color w:val="auto"/>
          <w:sz w:val="26"/>
          <w:szCs w:val="26"/>
          <w:lang w:eastAsia="en-US"/>
        </w:rPr>
        <w:t xml:space="preserve">  – поправочный коэффициент за масштаб</w:t>
      </w:r>
      <w:r w:rsidR="00096D36" w:rsidRPr="00886466">
        <w:rPr>
          <w:color w:val="auto"/>
          <w:sz w:val="26"/>
          <w:szCs w:val="26"/>
        </w:rPr>
        <w:t xml:space="preserve"> </w:t>
      </w:r>
      <w:proofErr w:type="spellStart"/>
      <w:r w:rsidR="00096D36" w:rsidRPr="00886466">
        <w:rPr>
          <w:i/>
          <w:color w:val="auto"/>
          <w:sz w:val="26"/>
          <w:szCs w:val="26"/>
          <w:lang w:val="en-US"/>
        </w:rPr>
        <w:t>i</w:t>
      </w:r>
      <w:proofErr w:type="spellEnd"/>
      <w:r w:rsidR="00096D36" w:rsidRPr="00886466">
        <w:rPr>
          <w:color w:val="auto"/>
          <w:sz w:val="26"/>
          <w:szCs w:val="26"/>
        </w:rPr>
        <w:t>-го мероприятия согласно Таблице 5;</w:t>
      </w:r>
    </w:p>
    <w:p w:rsidR="000E12E6" w:rsidRPr="00886466" w:rsidRDefault="000E12E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</w:p>
    <w:p w:rsidR="00096D36" w:rsidRPr="00886466" w:rsidRDefault="00096D3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 2</w:t>
      </w:r>
    </w:p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Количество базовых баллов за участие в мероприятии в зависимости от уровня его организации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239"/>
        <w:gridCol w:w="2329"/>
        <w:gridCol w:w="2274"/>
      </w:tblGrid>
      <w:tr w:rsidR="00886466" w:rsidRPr="00886466" w:rsidTr="00096D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876641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Уровень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Факультет/</w:t>
            </w: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общежитие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Университет</w:t>
            </w: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 и выше</w:t>
            </w: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</w:p>
        </w:tc>
      </w:tr>
      <w:tr w:rsidR="005D2283" w:rsidRPr="00886466" w:rsidTr="00096D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</w:tbl>
    <w:p w:rsidR="00096D36" w:rsidRPr="00886466" w:rsidRDefault="00096D36" w:rsidP="00876641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</w:p>
    <w:p w:rsidR="00096D36" w:rsidRPr="00886466" w:rsidRDefault="00096D3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 3</w:t>
      </w:r>
    </w:p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color w:val="auto"/>
          <w:sz w:val="26"/>
          <w:szCs w:val="26"/>
          <w:lang w:eastAsia="en-US"/>
        </w:rPr>
        <w:t>Величина поправочного коэффициента за роль</w:t>
      </w:r>
      <w:r w:rsidRPr="00886466">
        <w:rPr>
          <w:color w:val="auto"/>
          <w:sz w:val="26"/>
          <w:szCs w:val="26"/>
        </w:rPr>
        <w:t xml:space="preserve"> претендента в мероприятии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239"/>
        <w:gridCol w:w="2329"/>
        <w:gridCol w:w="2274"/>
      </w:tblGrid>
      <w:tr w:rsidR="00886466" w:rsidRPr="00886466" w:rsidTr="00096D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876641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Волонтер</w:t>
            </w:r>
            <w:r w:rsidRPr="00886466"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</w:rPr>
              <w:footnoteReference w:id="20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Организатор</w:t>
            </w:r>
            <w:r w:rsidRPr="00886466"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</w:rPr>
              <w:footnoteReference w:id="21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</w:t>
            </w:r>
            <w:r w:rsidRPr="00886466"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</w:rPr>
              <w:footnoteReference w:id="22"/>
            </w:r>
          </w:p>
        </w:tc>
      </w:tr>
      <w:tr w:rsidR="005D2283" w:rsidRPr="00886466" w:rsidTr="00096D3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Коэффициент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1,25</w:t>
            </w:r>
          </w:p>
        </w:tc>
      </w:tr>
    </w:tbl>
    <w:p w:rsidR="00096D36" w:rsidRPr="00886466" w:rsidRDefault="00096D36" w:rsidP="00876641">
      <w:pPr>
        <w:jc w:val="both"/>
        <w:rPr>
          <w:rFonts w:eastAsiaTheme="minorEastAsia"/>
          <w:color w:val="auto"/>
          <w:sz w:val="26"/>
          <w:szCs w:val="26"/>
          <w:lang w:eastAsia="en-US"/>
        </w:rPr>
      </w:pPr>
    </w:p>
    <w:p w:rsidR="00096D36" w:rsidRPr="00886466" w:rsidRDefault="00096D36" w:rsidP="00876641">
      <w:pPr>
        <w:jc w:val="right"/>
        <w:rPr>
          <w:rFonts w:eastAsiaTheme="minorEastAsia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 4</w:t>
      </w:r>
    </w:p>
    <w:p w:rsidR="00096D36" w:rsidRPr="00886466" w:rsidRDefault="00096D36" w:rsidP="00876641">
      <w:pPr>
        <w:jc w:val="center"/>
        <w:rPr>
          <w:color w:val="auto"/>
          <w:sz w:val="26"/>
          <w:szCs w:val="26"/>
          <w:lang w:eastAsia="ru-RU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 xml:space="preserve">Величина </w:t>
      </w:r>
      <w:r w:rsidRPr="00886466">
        <w:rPr>
          <w:color w:val="auto"/>
          <w:sz w:val="26"/>
          <w:szCs w:val="26"/>
          <w:lang w:eastAsia="en-US"/>
        </w:rPr>
        <w:t>поправочного коэффициента за длительность</w:t>
      </w:r>
      <w:r w:rsidRPr="00886466">
        <w:rPr>
          <w:color w:val="auto"/>
          <w:sz w:val="26"/>
          <w:szCs w:val="26"/>
        </w:rPr>
        <w:t xml:space="preserve"> мероприятия</w:t>
      </w:r>
    </w:p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096"/>
        <w:gridCol w:w="1513"/>
        <w:gridCol w:w="1506"/>
        <w:gridCol w:w="1477"/>
        <w:gridCol w:w="1389"/>
        <w:gridCol w:w="1286"/>
      </w:tblGrid>
      <w:tr w:rsidR="00886466" w:rsidRPr="00886466" w:rsidTr="00096D3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876641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Длительность мероприятия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день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дня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дня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дней и более</w:t>
            </w:r>
          </w:p>
        </w:tc>
      </w:tr>
      <w:tr w:rsidR="005D2283" w:rsidRPr="00886466" w:rsidTr="00096D3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Коэффициент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0.75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2.5</w:t>
            </w:r>
          </w:p>
        </w:tc>
      </w:tr>
    </w:tbl>
    <w:p w:rsidR="00096D36" w:rsidRPr="00886466" w:rsidRDefault="00096D36" w:rsidP="00876641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</w:p>
    <w:p w:rsidR="00096D36" w:rsidRPr="00886466" w:rsidRDefault="00096D3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 5</w:t>
      </w:r>
    </w:p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 xml:space="preserve">Величина </w:t>
      </w:r>
      <w:r w:rsidRPr="00886466">
        <w:rPr>
          <w:color w:val="auto"/>
          <w:sz w:val="26"/>
          <w:szCs w:val="26"/>
          <w:lang w:eastAsia="en-US"/>
        </w:rPr>
        <w:t>поправочного коэффициента за масштаб</w:t>
      </w:r>
      <w:r w:rsidRPr="00886466">
        <w:rPr>
          <w:color w:val="auto"/>
          <w:sz w:val="26"/>
          <w:szCs w:val="26"/>
        </w:rPr>
        <w:t xml:space="preserve"> мероприятия</w:t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312"/>
        <w:gridCol w:w="2321"/>
        <w:gridCol w:w="2313"/>
        <w:gridCol w:w="2321"/>
      </w:tblGrid>
      <w:tr w:rsidR="00886466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Коэффициент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Коэффициент</w:t>
            </w:r>
          </w:p>
        </w:tc>
      </w:tr>
      <w:tr w:rsidR="00886466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до 50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0.5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171 до 200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1.25</w:t>
            </w:r>
          </w:p>
        </w:tc>
      </w:tr>
      <w:tr w:rsidR="00886466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lastRenderedPageBreak/>
              <w:t>от 51 до 75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0.6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201 до 300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1.5</w:t>
            </w:r>
          </w:p>
        </w:tc>
      </w:tr>
      <w:tr w:rsidR="00886466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76 до 100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0.7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301 до 500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1.75</w:t>
            </w:r>
          </w:p>
        </w:tc>
      </w:tr>
      <w:tr w:rsidR="00886466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101 до 130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0.8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Более 500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A434CD" w:rsidRPr="00886466" w:rsidTr="00096D36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От 131 до 170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E12E6" w:rsidP="0087664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E12E6" w:rsidP="00876641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 w:rsidRPr="00886466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:rsidR="00096D36" w:rsidRPr="00886466" w:rsidRDefault="00096D36">
      <w:pPr>
        <w:autoSpaceDE w:val="0"/>
        <w:autoSpaceDN w:val="0"/>
        <w:adjustRightInd w:val="0"/>
        <w:jc w:val="both"/>
        <w:rPr>
          <w:rFonts w:eastAsia="Calibri"/>
          <w:color w:val="auto"/>
          <w:sz w:val="26"/>
          <w:szCs w:val="26"/>
        </w:rPr>
      </w:pPr>
    </w:p>
    <w:p w:rsidR="00096D36" w:rsidRPr="00886466" w:rsidRDefault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rFonts w:eastAsia="Calibri"/>
          <w:color w:val="auto"/>
          <w:sz w:val="26"/>
          <w:szCs w:val="26"/>
        </w:rPr>
        <w:t>6</w:t>
      </w:r>
      <w:r w:rsidR="00096D36" w:rsidRPr="00886466">
        <w:rPr>
          <w:rFonts w:eastAsia="Calibri"/>
          <w:color w:val="auto"/>
          <w:sz w:val="26"/>
          <w:szCs w:val="26"/>
        </w:rPr>
        <w:t xml:space="preserve">. Оценка </w:t>
      </w:r>
      <w:r w:rsidR="00096D36" w:rsidRPr="00886466">
        <w:rPr>
          <w:color w:val="auto"/>
          <w:sz w:val="26"/>
          <w:szCs w:val="26"/>
        </w:rPr>
        <w:t>участия претендента на получение повышенной государственной академической стипендии за достижения в общественной деятельности, связанные с работой в системе студенческого самоуправления проводится согласно Таблице 6</w:t>
      </w:r>
    </w:p>
    <w:p w:rsidR="00096D36" w:rsidRPr="00886466" w:rsidRDefault="00096D3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</w:rPr>
      </w:pPr>
    </w:p>
    <w:p w:rsidR="00096D36" w:rsidRPr="00886466" w:rsidRDefault="00096D3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 6</w:t>
      </w:r>
    </w:p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Количество баллов за участие в системе студенческого самоуправления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209"/>
        <w:gridCol w:w="1604"/>
        <w:gridCol w:w="1605"/>
        <w:gridCol w:w="3209"/>
      </w:tblGrid>
      <w:tr w:rsidR="00886466" w:rsidRPr="00886466" w:rsidTr="00096D3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Студенческий совет</w:t>
            </w:r>
            <w:r w:rsidRPr="00886466">
              <w:rPr>
                <w:rFonts w:eastAsiaTheme="minorEastAsia"/>
                <w:color w:val="auto"/>
                <w:sz w:val="26"/>
                <w:szCs w:val="26"/>
              </w:rPr>
              <w:br/>
              <w:t>факультета/общежития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Студенческий совет</w:t>
            </w:r>
            <w:r w:rsidRPr="00886466">
              <w:rPr>
                <w:rFonts w:eastAsiaTheme="minorEastAsia"/>
                <w:color w:val="auto"/>
                <w:sz w:val="26"/>
                <w:szCs w:val="26"/>
              </w:rPr>
              <w:br/>
              <w:t>НИУ ВШЭ</w:t>
            </w:r>
          </w:p>
        </w:tc>
      </w:tr>
      <w:tr w:rsidR="00886466" w:rsidRPr="00886466" w:rsidTr="00096D3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Член студенческого совета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3.75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7.5</w:t>
            </w:r>
          </w:p>
        </w:tc>
      </w:tr>
      <w:tr w:rsidR="00886466" w:rsidRPr="00886466" w:rsidTr="00096D3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Председатель, заместитель председателя, секретарь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7.5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15</w:t>
            </w:r>
          </w:p>
        </w:tc>
      </w:tr>
      <w:tr w:rsidR="00886466" w:rsidRPr="00886466" w:rsidTr="00876641"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1" w:rsidRPr="00886466" w:rsidRDefault="00876641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886466" w:rsidRPr="00886466" w:rsidTr="00096D36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Уполномоченный по правам студентов НИУ ВШЭ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15</w:t>
            </w:r>
          </w:p>
        </w:tc>
      </w:tr>
      <w:tr w:rsidR="00886466" w:rsidRPr="00886466" w:rsidTr="00096D36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Староста/ Куратор/</w:t>
            </w:r>
            <w:proofErr w:type="spellStart"/>
            <w:r w:rsidRPr="00886466">
              <w:rPr>
                <w:rFonts w:eastAsiaTheme="minorEastAsia"/>
                <w:color w:val="auto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3.75</w:t>
            </w:r>
          </w:p>
        </w:tc>
      </w:tr>
      <w:tr w:rsidR="005D2283" w:rsidRPr="00886466" w:rsidTr="00096D36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Координатор кураторов/</w:t>
            </w:r>
            <w:proofErr w:type="spellStart"/>
            <w:r w:rsidRPr="00886466">
              <w:rPr>
                <w:rFonts w:eastAsiaTheme="minorEastAsia"/>
                <w:color w:val="auto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7.5</w:t>
            </w:r>
          </w:p>
        </w:tc>
      </w:tr>
    </w:tbl>
    <w:p w:rsidR="00096D36" w:rsidRPr="00886466" w:rsidRDefault="00096D36" w:rsidP="00876641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</w:p>
    <w:p w:rsidR="00096D36" w:rsidRPr="00886466" w:rsidRDefault="008864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="Calibri"/>
          <w:color w:val="auto"/>
          <w:sz w:val="26"/>
          <w:szCs w:val="26"/>
        </w:rPr>
        <w:t>7</w:t>
      </w:r>
      <w:r w:rsidR="00096D36" w:rsidRPr="00886466">
        <w:rPr>
          <w:rFonts w:eastAsia="Calibri"/>
          <w:color w:val="auto"/>
          <w:sz w:val="26"/>
          <w:szCs w:val="26"/>
        </w:rPr>
        <w:t xml:space="preserve">. Оценка </w:t>
      </w:r>
      <w:r w:rsidR="00096D36" w:rsidRPr="00886466">
        <w:rPr>
          <w:color w:val="auto"/>
          <w:sz w:val="26"/>
          <w:szCs w:val="26"/>
        </w:rPr>
        <w:t>участия претендента на получение повышенной государственной академической стипендии за достижения общественной деятельности, связанной с работой в студенческих средствах массовой информации, проводится согласно таблице 7.</w:t>
      </w:r>
    </w:p>
    <w:p w:rsidR="00096D36" w:rsidRPr="00886466" w:rsidRDefault="00096D36" w:rsidP="00876641">
      <w:pPr>
        <w:ind w:left="360"/>
        <w:jc w:val="right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>Таблица</w:t>
      </w:r>
      <w:r w:rsidR="00886466" w:rsidRPr="00886466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886466">
        <w:rPr>
          <w:rFonts w:eastAsiaTheme="minorHAnsi"/>
          <w:color w:val="auto"/>
          <w:sz w:val="26"/>
          <w:szCs w:val="26"/>
          <w:lang w:eastAsia="en-US"/>
        </w:rPr>
        <w:t>7</w:t>
      </w:r>
    </w:p>
    <w:p w:rsidR="00096D36" w:rsidRPr="00886466" w:rsidRDefault="00096D36" w:rsidP="00CA459D">
      <w:pPr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886466">
        <w:rPr>
          <w:rFonts w:eastAsiaTheme="minorHAnsi"/>
          <w:color w:val="auto"/>
          <w:sz w:val="26"/>
          <w:szCs w:val="26"/>
          <w:lang w:eastAsia="en-US"/>
        </w:rPr>
        <w:t xml:space="preserve">Количество баллов за участие в </w:t>
      </w:r>
      <w:r w:rsidRPr="00886466">
        <w:rPr>
          <w:color w:val="auto"/>
          <w:sz w:val="26"/>
          <w:szCs w:val="26"/>
        </w:rPr>
        <w:t>работе студенческих средств массовой информации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86466" w:rsidRPr="00886466" w:rsidTr="00096D36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Руководство и редактура СМИ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15</w:t>
            </w:r>
          </w:p>
        </w:tc>
      </w:tr>
      <w:tr w:rsidR="005D2283" w:rsidRPr="00886466" w:rsidTr="00096D36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Создание контента (статья, ауди</w:t>
            </w:r>
            <w:proofErr w:type="gramStart"/>
            <w:r w:rsidRPr="00886466">
              <w:rPr>
                <w:rFonts w:eastAsiaTheme="minorEastAsia"/>
                <w:color w:val="auto"/>
                <w:sz w:val="26"/>
                <w:szCs w:val="26"/>
              </w:rPr>
              <w:t>о-</w:t>
            </w:r>
            <w:proofErr w:type="gramEnd"/>
            <w:r w:rsidRPr="00886466">
              <w:rPr>
                <w:rFonts w:eastAsiaTheme="minorEastAsia"/>
                <w:color w:val="auto"/>
                <w:sz w:val="26"/>
                <w:szCs w:val="26"/>
              </w:rPr>
              <w:t xml:space="preserve"> и/или видеоролик, плакат/афиша и т.п.)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36" w:rsidRPr="00886466" w:rsidRDefault="00096D36" w:rsidP="00876641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886466">
              <w:rPr>
                <w:rFonts w:eastAsiaTheme="minorEastAsia"/>
                <w:color w:val="auto"/>
                <w:sz w:val="26"/>
                <w:szCs w:val="26"/>
              </w:rPr>
              <w:t>0.625 за каждую единицу контента</w:t>
            </w:r>
          </w:p>
        </w:tc>
      </w:tr>
    </w:tbl>
    <w:p w:rsidR="00096D36" w:rsidRPr="00886466" w:rsidRDefault="00096D3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</w:p>
    <w:p w:rsidR="00096D36" w:rsidRPr="00886466" w:rsidRDefault="00886466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</w:rPr>
      </w:pPr>
      <w:r w:rsidRPr="00886466">
        <w:rPr>
          <w:rFonts w:eastAsia="Calibri"/>
          <w:color w:val="auto"/>
          <w:sz w:val="26"/>
          <w:szCs w:val="26"/>
        </w:rPr>
        <w:t>8</w:t>
      </w:r>
      <w:r w:rsidR="00096D36" w:rsidRPr="00886466">
        <w:rPr>
          <w:rFonts w:eastAsia="Calibri"/>
          <w:color w:val="auto"/>
          <w:sz w:val="26"/>
          <w:szCs w:val="26"/>
        </w:rPr>
        <w:t xml:space="preserve">. Итоговый балл </w:t>
      </w:r>
      <w:r w:rsidR="00096D36" w:rsidRPr="00886466">
        <w:rPr>
          <w:color w:val="auto"/>
          <w:sz w:val="26"/>
          <w:szCs w:val="26"/>
        </w:rPr>
        <w:t>претендента на получение повышенной государственной академической стипендии за</w:t>
      </w:r>
      <w:r w:rsidR="00096D36" w:rsidRPr="00886466">
        <w:rPr>
          <w:rFonts w:eastAsia="Calibri"/>
          <w:color w:val="auto"/>
          <w:sz w:val="26"/>
          <w:szCs w:val="26"/>
        </w:rPr>
        <w:t xml:space="preserve"> </w:t>
      </w:r>
      <w:r w:rsidR="00096D36" w:rsidRPr="00886466">
        <w:rPr>
          <w:color w:val="auto"/>
          <w:sz w:val="26"/>
          <w:szCs w:val="26"/>
        </w:rPr>
        <w:t>достижения в общественной деятельности получается суммированием б</w:t>
      </w:r>
      <w:r w:rsidR="00876641" w:rsidRPr="00886466">
        <w:rPr>
          <w:color w:val="auto"/>
          <w:sz w:val="26"/>
          <w:szCs w:val="26"/>
        </w:rPr>
        <w:t xml:space="preserve">аллов, полученных по критериям </w:t>
      </w:r>
      <w:r w:rsidRPr="00886466">
        <w:rPr>
          <w:color w:val="auto"/>
          <w:sz w:val="26"/>
          <w:szCs w:val="26"/>
        </w:rPr>
        <w:t>пунктов 4</w:t>
      </w:r>
      <w:r w:rsidR="00876641" w:rsidRPr="00886466">
        <w:rPr>
          <w:color w:val="auto"/>
          <w:sz w:val="26"/>
          <w:szCs w:val="26"/>
        </w:rPr>
        <w:t>–</w:t>
      </w:r>
      <w:r w:rsidRPr="00886466">
        <w:rPr>
          <w:color w:val="auto"/>
          <w:sz w:val="26"/>
          <w:szCs w:val="26"/>
        </w:rPr>
        <w:t>7</w:t>
      </w:r>
      <w:r w:rsidR="00096D36" w:rsidRPr="00886466">
        <w:rPr>
          <w:color w:val="auto"/>
          <w:sz w:val="26"/>
          <w:szCs w:val="26"/>
        </w:rPr>
        <w:t>.</w:t>
      </w:r>
    </w:p>
    <w:p w:rsidR="00096D36" w:rsidRPr="00886466" w:rsidRDefault="00096D36" w:rsidP="00876641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</w:p>
    <w:p w:rsidR="00096D36" w:rsidRPr="00886466" w:rsidRDefault="00096D36">
      <w:pPr>
        <w:suppressAutoHyphens w:val="0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br w:type="page"/>
      </w:r>
    </w:p>
    <w:p w:rsidR="00096D36" w:rsidRPr="00886466" w:rsidRDefault="00096D36" w:rsidP="00557CF0">
      <w:pPr>
        <w:tabs>
          <w:tab w:val="left" w:pos="2490"/>
        </w:tabs>
        <w:ind w:left="5387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lastRenderedPageBreak/>
        <w:t>Приложение № 4</w:t>
      </w:r>
    </w:p>
    <w:p w:rsidR="00096D36" w:rsidRPr="00886466" w:rsidRDefault="00096D36" w:rsidP="00557CF0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886466">
        <w:rPr>
          <w:bCs/>
          <w:color w:val="auto"/>
          <w:sz w:val="26"/>
          <w:szCs w:val="26"/>
        </w:rPr>
        <w:t>материальной</w:t>
      </w:r>
      <w:proofErr w:type="gramEnd"/>
      <w:r w:rsidRPr="00886466">
        <w:rPr>
          <w:bCs/>
          <w:color w:val="auto"/>
          <w:sz w:val="26"/>
          <w:szCs w:val="26"/>
        </w:rPr>
        <w:t xml:space="preserve"> поддержки </w:t>
      </w:r>
    </w:p>
    <w:p w:rsidR="00096D36" w:rsidRPr="00886466" w:rsidRDefault="00096D36" w:rsidP="00557CF0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</w:t>
      </w:r>
      <w:r w:rsidRPr="00886466" w:rsidDel="00AD7D02">
        <w:rPr>
          <w:bCs/>
          <w:color w:val="auto"/>
          <w:sz w:val="26"/>
          <w:szCs w:val="26"/>
        </w:rPr>
        <w:t xml:space="preserve"> </w:t>
      </w:r>
      <w:r w:rsidRPr="00886466">
        <w:rPr>
          <w:bCs/>
          <w:color w:val="auto"/>
          <w:sz w:val="26"/>
          <w:szCs w:val="26"/>
        </w:rPr>
        <w:t>НИУ ВШЭ</w:t>
      </w:r>
    </w:p>
    <w:p w:rsidR="00096D36" w:rsidRPr="00886466" w:rsidRDefault="00096D36" w:rsidP="00876641">
      <w:pPr>
        <w:pStyle w:val="af9"/>
        <w:spacing w:before="0" w:after="0"/>
        <w:ind w:firstLine="709"/>
        <w:jc w:val="center"/>
        <w:rPr>
          <w:bCs/>
          <w:sz w:val="26"/>
          <w:szCs w:val="26"/>
        </w:rPr>
      </w:pPr>
    </w:p>
    <w:p w:rsidR="00096D36" w:rsidRPr="00886466" w:rsidRDefault="00096D36" w:rsidP="00876641">
      <w:pPr>
        <w:pStyle w:val="af9"/>
        <w:suppressAutoHyphens w:val="0"/>
        <w:spacing w:before="0" w:after="0"/>
        <w:jc w:val="center"/>
        <w:rPr>
          <w:sz w:val="26"/>
          <w:szCs w:val="26"/>
        </w:rPr>
      </w:pPr>
      <w:r w:rsidRPr="00886466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886466">
        <w:rPr>
          <w:sz w:val="26"/>
          <w:szCs w:val="26"/>
        </w:rPr>
        <w:t xml:space="preserve"> за достижения в </w:t>
      </w:r>
      <w:r w:rsidRPr="00886466">
        <w:rPr>
          <w:bCs/>
          <w:sz w:val="26"/>
          <w:szCs w:val="26"/>
        </w:rPr>
        <w:t>культурно-творческой деятельности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sz w:val="26"/>
          <w:szCs w:val="26"/>
        </w:rPr>
        <w:t xml:space="preserve">1. </w:t>
      </w:r>
      <w:r w:rsidRPr="00886466">
        <w:rPr>
          <w:bCs/>
          <w:sz w:val="26"/>
          <w:szCs w:val="26"/>
        </w:rPr>
        <w:t>Повышенная государственная академическая стипендия за достижения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886466">
        <w:rPr>
          <w:color w:val="auto"/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НИУ ВШЭ, иной организацией, осуществляющей образовательную деятельность, организацией культуры и искусства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  <w:proofErr w:type="gramEnd"/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886466">
        <w:rPr>
          <w:color w:val="auto"/>
          <w:sz w:val="26"/>
          <w:szCs w:val="26"/>
        </w:rPr>
        <w:t>б) 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886466">
        <w:rPr>
          <w:color w:val="auto"/>
          <w:sz w:val="26"/>
          <w:szCs w:val="26"/>
        </w:rPr>
        <w:t xml:space="preserve"> </w:t>
      </w:r>
      <w:proofErr w:type="gramStart"/>
      <w:r w:rsidRPr="00886466">
        <w:rPr>
          <w:color w:val="auto"/>
          <w:sz w:val="26"/>
          <w:szCs w:val="26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произведения), подтверждаемое документально;</w:t>
      </w:r>
      <w:proofErr w:type="gramEnd"/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в)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096D36" w:rsidRPr="00886466" w:rsidRDefault="00096D36" w:rsidP="00876641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886466">
        <w:rPr>
          <w:bCs/>
          <w:sz w:val="26"/>
          <w:szCs w:val="26"/>
        </w:rPr>
        <w:t>за достижения студента в культурно-творческой деятельности</w:t>
      </w:r>
      <w:r w:rsidRPr="00886466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</w:t>
      </w:r>
      <w:r w:rsidR="005D2283" w:rsidRPr="00886466">
        <w:rPr>
          <w:sz w:val="26"/>
          <w:szCs w:val="26"/>
        </w:rPr>
        <w:t>ента критериям, установленным пунктом</w:t>
      </w:r>
      <w:r w:rsidRPr="00886466">
        <w:rPr>
          <w:sz w:val="26"/>
          <w:szCs w:val="26"/>
        </w:rPr>
        <w:t xml:space="preserve"> 1.</w:t>
      </w:r>
    </w:p>
    <w:p w:rsidR="00886466" w:rsidRPr="00886466" w:rsidRDefault="00096D3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культурно – творческой деятельности уже предоставленные ранее документы.</w:t>
      </w:r>
    </w:p>
    <w:p w:rsidR="00096D36" w:rsidRPr="00886466" w:rsidRDefault="0088646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lastRenderedPageBreak/>
        <w:t xml:space="preserve">4. </w:t>
      </w:r>
      <w:r w:rsidR="00096D36" w:rsidRPr="00886466">
        <w:rPr>
          <w:color w:val="auto"/>
          <w:sz w:val="26"/>
          <w:szCs w:val="26"/>
        </w:rPr>
        <w:t>Критерии оценки деятельности студента, претендующего на повышенную государственную академическую стипендию за достижения в культурно-творческой  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567"/>
        <w:gridCol w:w="567"/>
        <w:gridCol w:w="1418"/>
      </w:tblGrid>
      <w:tr w:rsidR="00886466" w:rsidRPr="00886466" w:rsidTr="00096D36">
        <w:tc>
          <w:tcPr>
            <w:tcW w:w="534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886466"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886466" w:rsidRPr="00886466" w:rsidTr="00096D36">
        <w:tc>
          <w:tcPr>
            <w:tcW w:w="534" w:type="dxa"/>
            <w:vMerge w:val="restart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Результаты культурно-творческой деятельности студента (награда, приз), в </w:t>
            </w:r>
            <w:proofErr w:type="spellStart"/>
            <w:r w:rsidRPr="00886466">
              <w:rPr>
                <w:color w:val="auto"/>
                <w:sz w:val="26"/>
                <w:szCs w:val="26"/>
              </w:rPr>
              <w:t>т.ч</w:t>
            </w:r>
            <w:proofErr w:type="spellEnd"/>
            <w:r w:rsidRPr="00886466">
              <w:rPr>
                <w:color w:val="auto"/>
                <w:sz w:val="26"/>
                <w:szCs w:val="26"/>
              </w:rPr>
              <w:t>. в рамках конкурса, смотра и иного аналогичного мероприятия, полученные в течение года, предшествующего назначению повышенной государственной академической стипендии</w:t>
            </w: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– международного или всероссийского уровня</w:t>
            </w: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– регионального уровня;</w:t>
            </w: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– уровня НИУ ВШЭ, другого вуза, иной организации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Призер (2-3 место)</w:t>
            </w:r>
          </w:p>
        </w:tc>
        <w:tc>
          <w:tcPr>
            <w:tcW w:w="1418" w:type="dxa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886466" w:rsidRPr="00886466" w:rsidTr="00096D36">
        <w:tc>
          <w:tcPr>
            <w:tcW w:w="534" w:type="dxa"/>
            <w:vMerge/>
            <w:shd w:val="clear" w:color="auto" w:fill="auto"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6D36" w:rsidRPr="00886466" w:rsidRDefault="00096D36" w:rsidP="00876641">
            <w:pPr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886466">
              <w:rPr>
                <w:color w:val="auto"/>
                <w:sz w:val="26"/>
                <w:szCs w:val="26"/>
              </w:rPr>
              <w:t>20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15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886466">
              <w:rPr>
                <w:color w:val="auto"/>
                <w:sz w:val="26"/>
                <w:szCs w:val="26"/>
              </w:rPr>
              <w:t>15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</w:t>
            </w:r>
          </w:p>
          <w:p w:rsidR="00096D36" w:rsidRPr="00886466" w:rsidRDefault="00096D36" w:rsidP="00876641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</w:t>
            </w:r>
          </w:p>
        </w:tc>
      </w:tr>
      <w:tr w:rsidR="00886466" w:rsidRPr="00886466" w:rsidTr="00096D36">
        <w:tc>
          <w:tcPr>
            <w:tcW w:w="534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886466">
              <w:rPr>
                <w:color w:val="auto"/>
                <w:sz w:val="26"/>
                <w:szCs w:val="26"/>
              </w:rPr>
              <w:t>Публичное представление студентом в течение года, предшествующего 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886466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886466">
              <w:rPr>
                <w:color w:val="auto"/>
                <w:sz w:val="26"/>
                <w:szCs w:val="26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произведения):</w:t>
            </w:r>
            <w:proofErr w:type="gramEnd"/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международного или всероссийского уровня;</w:t>
            </w: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регионального уровня;</w:t>
            </w:r>
          </w:p>
          <w:p w:rsidR="00096D36" w:rsidRPr="00886466" w:rsidRDefault="00096D36" w:rsidP="00876641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уровня НИУ ВШЭ, другого вуза, иной организации культуры и искусства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20</w:t>
            </w: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15</w:t>
            </w:r>
          </w:p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</w:tc>
      </w:tr>
      <w:tr w:rsidR="00886466" w:rsidRPr="00886466" w:rsidTr="00096D36">
        <w:trPr>
          <w:trHeight w:val="510"/>
        </w:trPr>
        <w:tc>
          <w:tcPr>
            <w:tcW w:w="534" w:type="dxa"/>
            <w:vMerge w:val="restart"/>
            <w:shd w:val="clear" w:color="auto" w:fill="auto"/>
          </w:tcPr>
          <w:p w:rsidR="00096D36" w:rsidRPr="00886466" w:rsidRDefault="00096D36" w:rsidP="00876641">
            <w:pPr>
              <w:ind w:firstLine="709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lastRenderedPageBreak/>
              <w:t>3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Исполнитель</w:t>
            </w:r>
            <w:r w:rsidRPr="00886466">
              <w:rPr>
                <w:rStyle w:val="ac"/>
                <w:color w:val="auto"/>
                <w:sz w:val="26"/>
                <w:szCs w:val="26"/>
              </w:rPr>
              <w:footnoteReference w:id="23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Организатор</w:t>
            </w:r>
            <w:r w:rsidRPr="00886466">
              <w:rPr>
                <w:rStyle w:val="ac"/>
                <w:color w:val="auto"/>
                <w:sz w:val="26"/>
                <w:szCs w:val="26"/>
              </w:rPr>
              <w:footnoteReference w:id="24"/>
            </w:r>
          </w:p>
        </w:tc>
      </w:tr>
      <w:tr w:rsidR="00A434CD" w:rsidRPr="00886466" w:rsidTr="00096D36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6D36" w:rsidRPr="00886466" w:rsidRDefault="00096D36" w:rsidP="00876641">
            <w:pPr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 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10</w:t>
            </w:r>
          </w:p>
        </w:tc>
      </w:tr>
    </w:tbl>
    <w:p w:rsidR="00096D36" w:rsidRPr="00886466" w:rsidRDefault="00096D36" w:rsidP="00876641">
      <w:pPr>
        <w:ind w:firstLine="709"/>
        <w:jc w:val="center"/>
        <w:rPr>
          <w:color w:val="auto"/>
          <w:sz w:val="26"/>
          <w:szCs w:val="26"/>
        </w:rPr>
      </w:pPr>
    </w:p>
    <w:p w:rsidR="00096D36" w:rsidRPr="00886466" w:rsidRDefault="00096D36">
      <w:pPr>
        <w:suppressAutoHyphens w:val="0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br w:type="page"/>
      </w:r>
    </w:p>
    <w:p w:rsidR="00096D36" w:rsidRPr="00886466" w:rsidRDefault="00096D36" w:rsidP="00557CF0">
      <w:pPr>
        <w:tabs>
          <w:tab w:val="left" w:pos="2490"/>
          <w:tab w:val="left" w:pos="4253"/>
        </w:tabs>
        <w:ind w:left="5387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lastRenderedPageBreak/>
        <w:t>Приложение № 5</w:t>
      </w:r>
    </w:p>
    <w:p w:rsidR="00557CF0" w:rsidRDefault="00096D36" w:rsidP="00557CF0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Pr="00886466">
        <w:rPr>
          <w:bCs/>
          <w:color w:val="auto"/>
          <w:sz w:val="26"/>
          <w:szCs w:val="26"/>
        </w:rPr>
        <w:t>материальной</w:t>
      </w:r>
      <w:proofErr w:type="gramEnd"/>
      <w:r w:rsidRPr="00886466">
        <w:rPr>
          <w:bCs/>
          <w:color w:val="auto"/>
          <w:sz w:val="26"/>
          <w:szCs w:val="26"/>
        </w:rPr>
        <w:t xml:space="preserve"> поддержки </w:t>
      </w:r>
    </w:p>
    <w:p w:rsidR="00096D36" w:rsidRPr="00886466" w:rsidRDefault="00096D36" w:rsidP="00557CF0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bookmarkStart w:id="0" w:name="_GoBack"/>
      <w:bookmarkEnd w:id="0"/>
      <w:r w:rsidRPr="00886466">
        <w:rPr>
          <w:bCs/>
          <w:color w:val="auto"/>
          <w:sz w:val="26"/>
          <w:szCs w:val="26"/>
        </w:rPr>
        <w:t>обучающихся</w:t>
      </w:r>
      <w:r w:rsidRPr="00886466" w:rsidDel="00AD7D02">
        <w:rPr>
          <w:bCs/>
          <w:color w:val="auto"/>
          <w:sz w:val="26"/>
          <w:szCs w:val="26"/>
        </w:rPr>
        <w:t xml:space="preserve"> </w:t>
      </w:r>
      <w:r w:rsidRPr="00886466">
        <w:rPr>
          <w:bCs/>
          <w:color w:val="auto"/>
          <w:sz w:val="26"/>
          <w:szCs w:val="26"/>
        </w:rPr>
        <w:t>НИУ ВШЭ</w:t>
      </w:r>
    </w:p>
    <w:p w:rsidR="00096D36" w:rsidRPr="00886466" w:rsidRDefault="00096D36" w:rsidP="00876641">
      <w:pPr>
        <w:pStyle w:val="text"/>
        <w:spacing w:before="0" w:after="0"/>
        <w:ind w:firstLine="709"/>
        <w:rPr>
          <w:sz w:val="26"/>
          <w:szCs w:val="26"/>
        </w:rPr>
      </w:pPr>
    </w:p>
    <w:p w:rsidR="00096D36" w:rsidRPr="00886466" w:rsidRDefault="00096D36" w:rsidP="00886466">
      <w:pPr>
        <w:pStyle w:val="af9"/>
        <w:spacing w:before="0" w:after="0"/>
        <w:ind w:firstLine="709"/>
        <w:jc w:val="center"/>
        <w:rPr>
          <w:sz w:val="26"/>
          <w:szCs w:val="26"/>
        </w:rPr>
      </w:pPr>
      <w:r w:rsidRPr="00886466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886466">
        <w:rPr>
          <w:sz w:val="26"/>
          <w:szCs w:val="26"/>
        </w:rPr>
        <w:t xml:space="preserve"> за достижения в </w:t>
      </w:r>
      <w:r w:rsidRPr="00886466">
        <w:rPr>
          <w:bCs/>
          <w:sz w:val="26"/>
          <w:szCs w:val="26"/>
        </w:rPr>
        <w:t>спортивной деятельности</w:t>
      </w:r>
      <w:r w:rsidRPr="00886466">
        <w:rPr>
          <w:rStyle w:val="ac"/>
          <w:bCs/>
          <w:sz w:val="26"/>
          <w:szCs w:val="26"/>
        </w:rPr>
        <w:footnoteReference w:id="25"/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p w:rsidR="00096D36" w:rsidRPr="00886466" w:rsidRDefault="00096D36" w:rsidP="00876641">
      <w:pPr>
        <w:pStyle w:val="af9"/>
        <w:spacing w:before="0" w:after="0"/>
        <w:ind w:firstLine="709"/>
        <w:jc w:val="both"/>
        <w:rPr>
          <w:bCs/>
          <w:sz w:val="26"/>
          <w:szCs w:val="26"/>
        </w:rPr>
      </w:pPr>
      <w:r w:rsidRPr="00886466">
        <w:rPr>
          <w:sz w:val="26"/>
          <w:szCs w:val="26"/>
        </w:rPr>
        <w:t xml:space="preserve">1. </w:t>
      </w:r>
      <w:r w:rsidRPr="00886466">
        <w:rPr>
          <w:bCs/>
          <w:sz w:val="26"/>
          <w:szCs w:val="26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886466">
        <w:rPr>
          <w:color w:val="auto"/>
          <w:sz w:val="26"/>
          <w:szCs w:val="26"/>
        </w:rPr>
        <w:t>а) получение студентом в течение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НИУ ВШЭ, иными организациями, осуществляющими образовательную деятельность, организациями, осуществляющими деятельность в области физической культуры, спорта и туризма или иными организациями;</w:t>
      </w:r>
      <w:proofErr w:type="gramEnd"/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б) 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проводимых в НИУ ВШЭ при поддержке кафедры физвоспитания;</w:t>
      </w:r>
    </w:p>
    <w:p w:rsidR="00096D36" w:rsidRPr="00886466" w:rsidRDefault="00096D36" w:rsidP="0087664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096D36" w:rsidRPr="00886466" w:rsidRDefault="00096D36" w:rsidP="00876641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886466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886466">
        <w:rPr>
          <w:bCs/>
          <w:sz w:val="26"/>
          <w:szCs w:val="26"/>
        </w:rPr>
        <w:t>за достижения студента в спортивной деятельности</w:t>
      </w:r>
      <w:r w:rsidRPr="00886466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</w:t>
      </w:r>
      <w:r w:rsidR="005D2283" w:rsidRPr="00886466">
        <w:rPr>
          <w:sz w:val="26"/>
          <w:szCs w:val="26"/>
        </w:rPr>
        <w:t xml:space="preserve">нта критериям, установленным пунктом </w:t>
      </w:r>
      <w:r w:rsidR="00886466" w:rsidRPr="00886466">
        <w:rPr>
          <w:sz w:val="26"/>
          <w:szCs w:val="26"/>
        </w:rPr>
        <w:t>1.</w:t>
      </w:r>
    </w:p>
    <w:p w:rsidR="00886466" w:rsidRPr="00886466" w:rsidRDefault="00096D3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спортивной деятельности уже предоставленные ранее документы.</w:t>
      </w:r>
    </w:p>
    <w:p w:rsidR="00886466" w:rsidRPr="00886466" w:rsidRDefault="0088646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4. </w:t>
      </w:r>
      <w:proofErr w:type="gramStart"/>
      <w:r w:rsidR="00096D36" w:rsidRPr="00886466">
        <w:rPr>
          <w:color w:val="auto"/>
          <w:sz w:val="26"/>
          <w:szCs w:val="26"/>
        </w:rPr>
        <w:t xml:space="preserve">Повышенная стипендия </w:t>
      </w:r>
      <w:r w:rsidR="00096D36" w:rsidRPr="00886466">
        <w:rPr>
          <w:color w:val="auto"/>
          <w:spacing w:val="2"/>
          <w:sz w:val="26"/>
          <w:szCs w:val="26"/>
        </w:rPr>
        <w:t>за особые достижения в спортивной деятельности</w:t>
      </w:r>
      <w:r w:rsidR="00096D36" w:rsidRPr="00886466">
        <w:rPr>
          <w:color w:val="auto"/>
          <w:sz w:val="26"/>
          <w:szCs w:val="26"/>
        </w:rPr>
        <w:t xml:space="preserve"> не назначается студентам НИУ ВШЭ, получающим стипендию Президента Российской Федерации, выплачиваемую в соответствии с </w:t>
      </w:r>
      <w:hyperlink r:id="rId10" w:history="1">
        <w:r w:rsidR="00096D36" w:rsidRPr="00886466">
          <w:rPr>
            <w:color w:val="auto"/>
            <w:sz w:val="26"/>
            <w:szCs w:val="26"/>
          </w:rPr>
          <w:t>Указом</w:t>
        </w:r>
      </w:hyperlink>
      <w:r w:rsidR="00096D36" w:rsidRPr="00886466">
        <w:rPr>
          <w:color w:val="auto"/>
          <w:sz w:val="26"/>
          <w:szCs w:val="26"/>
        </w:rPr>
        <w:t xml:space="preserve"> Президента Российской Федерации от 31.03.2011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="00096D36" w:rsidRPr="00886466">
        <w:rPr>
          <w:color w:val="auto"/>
          <w:sz w:val="26"/>
          <w:szCs w:val="26"/>
        </w:rPr>
        <w:t>Паралимпийских</w:t>
      </w:r>
      <w:proofErr w:type="spellEnd"/>
      <w:r w:rsidR="00096D36" w:rsidRPr="00886466">
        <w:rPr>
          <w:color w:val="auto"/>
          <w:sz w:val="26"/>
          <w:szCs w:val="26"/>
        </w:rPr>
        <w:t xml:space="preserve"> игр и </w:t>
      </w:r>
      <w:proofErr w:type="spellStart"/>
      <w:r w:rsidR="00096D36" w:rsidRPr="00886466">
        <w:rPr>
          <w:color w:val="auto"/>
          <w:sz w:val="26"/>
          <w:szCs w:val="26"/>
        </w:rPr>
        <w:lastRenderedPageBreak/>
        <w:t>Сурдлимпийских</w:t>
      </w:r>
      <w:proofErr w:type="spellEnd"/>
      <w:r w:rsidR="00096D36" w:rsidRPr="00886466">
        <w:rPr>
          <w:color w:val="auto"/>
          <w:sz w:val="26"/>
          <w:szCs w:val="26"/>
        </w:rPr>
        <w:t xml:space="preserve"> игр, чемпионам Олимпийских игр</w:t>
      </w:r>
      <w:proofErr w:type="gramEnd"/>
      <w:r w:rsidR="00096D36" w:rsidRPr="00886466">
        <w:rPr>
          <w:color w:val="auto"/>
          <w:sz w:val="26"/>
          <w:szCs w:val="26"/>
        </w:rPr>
        <w:t xml:space="preserve">, </w:t>
      </w:r>
      <w:proofErr w:type="spellStart"/>
      <w:r w:rsidR="00096D36" w:rsidRPr="00886466">
        <w:rPr>
          <w:color w:val="auto"/>
          <w:sz w:val="26"/>
          <w:szCs w:val="26"/>
        </w:rPr>
        <w:t>Паралимпийских</w:t>
      </w:r>
      <w:proofErr w:type="spellEnd"/>
      <w:r w:rsidR="00096D36" w:rsidRPr="00886466">
        <w:rPr>
          <w:color w:val="auto"/>
          <w:sz w:val="26"/>
          <w:szCs w:val="26"/>
        </w:rPr>
        <w:t xml:space="preserve"> игр и </w:t>
      </w:r>
      <w:proofErr w:type="spellStart"/>
      <w:r w:rsidR="00096D36" w:rsidRPr="00886466">
        <w:rPr>
          <w:color w:val="auto"/>
          <w:sz w:val="26"/>
          <w:szCs w:val="26"/>
        </w:rPr>
        <w:t>Сурдлимпийских</w:t>
      </w:r>
      <w:proofErr w:type="spellEnd"/>
      <w:r w:rsidR="00096D36" w:rsidRPr="00886466">
        <w:rPr>
          <w:color w:val="auto"/>
          <w:sz w:val="26"/>
          <w:szCs w:val="26"/>
        </w:rPr>
        <w:t xml:space="preserve"> игр».</w:t>
      </w:r>
    </w:p>
    <w:p w:rsidR="00096D36" w:rsidRPr="00886466" w:rsidRDefault="00886466" w:rsidP="00886466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5. </w:t>
      </w:r>
      <w:r w:rsidR="00096D36" w:rsidRPr="00886466">
        <w:rPr>
          <w:color w:val="auto"/>
          <w:sz w:val="26"/>
          <w:szCs w:val="26"/>
        </w:rPr>
        <w:t>Критерии оценки деятельности студента, претендующего на повышенную государственную академическую стипендию за достижения в спортивной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276"/>
        <w:gridCol w:w="1134"/>
      </w:tblGrid>
      <w:tr w:rsidR="00886466" w:rsidRPr="00886466" w:rsidTr="00096D36">
        <w:tc>
          <w:tcPr>
            <w:tcW w:w="534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886466"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886466" w:rsidRPr="00886466" w:rsidTr="00096D36">
        <w:tc>
          <w:tcPr>
            <w:tcW w:w="534" w:type="dxa"/>
            <w:vMerge w:val="restart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Результаты спортивных соревнований/конкурсов в течение года, предшествующего назначению повышенной государственной стипендии, проводимых НИУ ВШЭ, иными организациями, осуществляющими образовательную деятельность,  организациями, осуществляющими деятельность в области физической культуры, спорта и туризма или иными организациями:</w:t>
            </w:r>
          </w:p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международного или всероссийского уровня</w:t>
            </w:r>
          </w:p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 регионального уровня</w:t>
            </w:r>
          </w:p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- уровня НИУ ВШЭ, другого вуза, иной организации</w:t>
            </w:r>
          </w:p>
        </w:tc>
        <w:tc>
          <w:tcPr>
            <w:tcW w:w="1134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276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Призер</w:t>
            </w: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(2-3 место)</w:t>
            </w:r>
          </w:p>
        </w:tc>
        <w:tc>
          <w:tcPr>
            <w:tcW w:w="1134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886466" w:rsidRPr="00886466" w:rsidTr="00096D36">
        <w:tc>
          <w:tcPr>
            <w:tcW w:w="534" w:type="dxa"/>
            <w:vMerge/>
            <w:shd w:val="clear" w:color="auto" w:fill="auto"/>
          </w:tcPr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096D36" w:rsidRPr="00886466" w:rsidRDefault="00096D36" w:rsidP="00876641">
            <w:pPr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D5180D" w:rsidP="00876641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50</w:t>
            </w:r>
          </w:p>
          <w:p w:rsidR="00096D36" w:rsidRPr="00886466" w:rsidRDefault="008637EF" w:rsidP="00876641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3</w:t>
            </w:r>
            <w:r w:rsidR="002F470A">
              <w:rPr>
                <w:color w:val="auto"/>
                <w:sz w:val="26"/>
                <w:szCs w:val="26"/>
              </w:rPr>
              <w:t>0</w:t>
            </w:r>
          </w:p>
          <w:p w:rsidR="00096D36" w:rsidRPr="008637EF" w:rsidRDefault="008637EF" w:rsidP="00876641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20</w:t>
            </w: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D5180D" w:rsidP="00876641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40</w:t>
            </w:r>
          </w:p>
          <w:p w:rsidR="00096D36" w:rsidRPr="00886466" w:rsidRDefault="008637EF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</w:t>
            </w:r>
            <w:r w:rsidR="00096D36" w:rsidRPr="00886466">
              <w:rPr>
                <w:color w:val="auto"/>
                <w:sz w:val="26"/>
                <w:szCs w:val="26"/>
              </w:rPr>
              <w:t>0</w:t>
            </w:r>
          </w:p>
          <w:p w:rsidR="00096D36" w:rsidRPr="008637EF" w:rsidRDefault="008637EF" w:rsidP="00876641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096D36" w:rsidP="00876641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96D36" w:rsidRPr="00886466" w:rsidRDefault="00D5180D" w:rsidP="00876641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886466">
              <w:rPr>
                <w:color w:val="auto"/>
                <w:sz w:val="26"/>
                <w:szCs w:val="26"/>
                <w:lang w:val="en-US"/>
              </w:rPr>
              <w:t>30</w:t>
            </w:r>
          </w:p>
          <w:p w:rsidR="00096D36" w:rsidRPr="00886466" w:rsidRDefault="008637EF" w:rsidP="00876641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  <w:p w:rsidR="00096D36" w:rsidRPr="00886466" w:rsidRDefault="008637EF" w:rsidP="00876641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886466" w:rsidRPr="00886466" w:rsidTr="00096D36">
        <w:tc>
          <w:tcPr>
            <w:tcW w:w="534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 (по представлению кафедры физического воспитания)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</w:tr>
      <w:tr w:rsidR="00886466" w:rsidRPr="00886466" w:rsidTr="00096D36">
        <w:tc>
          <w:tcPr>
            <w:tcW w:w="534" w:type="dxa"/>
            <w:shd w:val="clear" w:color="auto" w:fill="auto"/>
          </w:tcPr>
          <w:p w:rsidR="00096D36" w:rsidRPr="00886466" w:rsidRDefault="00096D36" w:rsidP="00876641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  <w:p w:rsidR="00096D36" w:rsidRPr="00886466" w:rsidRDefault="00096D36">
            <w:pPr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96D36" w:rsidRPr="00886466" w:rsidRDefault="00096D36" w:rsidP="00876641">
            <w:pPr>
              <w:jc w:val="both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96D36" w:rsidRPr="00886466" w:rsidRDefault="00096D36" w:rsidP="00876641">
            <w:pPr>
              <w:jc w:val="center"/>
              <w:rPr>
                <w:color w:val="auto"/>
                <w:sz w:val="26"/>
                <w:szCs w:val="26"/>
              </w:rPr>
            </w:pPr>
            <w:r w:rsidRPr="00886466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096D36" w:rsidRPr="00886466" w:rsidRDefault="00096D36" w:rsidP="00876641">
      <w:pPr>
        <w:tabs>
          <w:tab w:val="left" w:pos="2490"/>
        </w:tabs>
        <w:rPr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 </w:t>
      </w:r>
    </w:p>
    <w:p w:rsidR="00096D36" w:rsidRPr="00886466" w:rsidRDefault="00096D36" w:rsidP="00876641">
      <w:pPr>
        <w:tabs>
          <w:tab w:val="left" w:pos="2490"/>
        </w:tabs>
        <w:rPr>
          <w:color w:val="auto"/>
          <w:sz w:val="26"/>
          <w:szCs w:val="26"/>
        </w:rPr>
      </w:pPr>
    </w:p>
    <w:p w:rsidR="00701CD5" w:rsidRPr="00886466" w:rsidRDefault="00701CD5" w:rsidP="00AF6E7A">
      <w:pPr>
        <w:pStyle w:val="text"/>
        <w:spacing w:before="0" w:after="75"/>
        <w:jc w:val="center"/>
        <w:rPr>
          <w:sz w:val="26"/>
          <w:szCs w:val="26"/>
        </w:rPr>
      </w:pPr>
    </w:p>
    <w:sectPr w:rsidR="00701CD5" w:rsidRPr="00886466" w:rsidSect="00C265DB">
      <w:footerReference w:type="default" r:id="rId11"/>
      <w:pgSz w:w="11906" w:h="16838"/>
      <w:pgMar w:top="1135" w:right="566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25" w:rsidRDefault="00477E25">
      <w:r>
        <w:separator/>
      </w:r>
    </w:p>
  </w:endnote>
  <w:endnote w:type="continuationSeparator" w:id="0">
    <w:p w:rsidR="00477E25" w:rsidRDefault="004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41" w:rsidRPr="00886466" w:rsidRDefault="00876641">
    <w:pPr>
      <w:pStyle w:val="af5"/>
      <w:jc w:val="right"/>
      <w:rPr>
        <w:color w:val="auto"/>
        <w:sz w:val="26"/>
        <w:szCs w:val="26"/>
      </w:rPr>
    </w:pPr>
    <w:r w:rsidRPr="00886466">
      <w:rPr>
        <w:color w:val="auto"/>
        <w:sz w:val="26"/>
        <w:szCs w:val="26"/>
      </w:rPr>
      <w:fldChar w:fldCharType="begin"/>
    </w:r>
    <w:r w:rsidRPr="00886466">
      <w:rPr>
        <w:color w:val="auto"/>
        <w:sz w:val="26"/>
        <w:szCs w:val="26"/>
      </w:rPr>
      <w:instrText>PAGE   \* MERGEFORMAT</w:instrText>
    </w:r>
    <w:r w:rsidRPr="00886466">
      <w:rPr>
        <w:color w:val="auto"/>
        <w:sz w:val="26"/>
        <w:szCs w:val="26"/>
      </w:rPr>
      <w:fldChar w:fldCharType="separate"/>
    </w:r>
    <w:r w:rsidR="00557CF0">
      <w:rPr>
        <w:noProof/>
        <w:color w:val="auto"/>
        <w:sz w:val="26"/>
        <w:szCs w:val="26"/>
      </w:rPr>
      <w:t>13</w:t>
    </w:r>
    <w:r w:rsidRPr="00886466">
      <w:rPr>
        <w:color w:val="auto"/>
        <w:sz w:val="26"/>
        <w:szCs w:val="26"/>
      </w:rPr>
      <w:fldChar w:fldCharType="end"/>
    </w:r>
  </w:p>
  <w:p w:rsidR="00876641" w:rsidRDefault="00876641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25" w:rsidRDefault="00477E25">
      <w:r>
        <w:separator/>
      </w:r>
    </w:p>
  </w:footnote>
  <w:footnote w:type="continuationSeparator" w:id="0">
    <w:p w:rsidR="00477E25" w:rsidRDefault="00477E25">
      <w:r>
        <w:continuationSeparator/>
      </w:r>
    </w:p>
  </w:footnote>
  <w:footnote w:id="1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При назначении повышенной государственной академической стипендии студентам 1 курса магистратуры НИУ ВШЭ учитываются достижения, полученные ими до поступления в магистратуру</w:t>
      </w:r>
      <w:r w:rsidRPr="001D2CD2">
        <w:rPr>
          <w:lang w:val="ru-RU"/>
        </w:rPr>
        <w:t xml:space="preserve"> НИУ ВШЭ</w:t>
      </w:r>
      <w:r w:rsidRPr="001D2CD2">
        <w:t>, при условии, что соответствующие достижения получены при обучении в НИУ ВШЭ и в течение сроков, установленных конкурсом.</w:t>
      </w:r>
    </w:p>
  </w:footnote>
  <w:footnote w:id="2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Электронные ссылки на публикации, указанные студентом в представляемых документах, без прикрепленных сканированных копий документов, не являются документальным подтверждением научно-исследовательской деятельности.</w:t>
      </w:r>
    </w:p>
  </w:footnote>
  <w:footnote w:id="3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В случае если результат научно–исследовательской деятельности получен в соавторстве группой студентов НИУ ВШЭ, количество присуждаемых баллов уменьшается в 2 раза.</w:t>
      </w:r>
    </w:p>
  </w:footnote>
  <w:footnote w:id="4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 xml:space="preserve">Данное достижение </w:t>
      </w:r>
      <w:proofErr w:type="gramStart"/>
      <w:r w:rsidRPr="001D2CD2">
        <w:rPr>
          <w:lang w:val="ru-RU"/>
        </w:rPr>
        <w:t>подтверждается документально и не может</w:t>
      </w:r>
      <w:proofErr w:type="gramEnd"/>
      <w:r w:rsidRPr="001D2CD2">
        <w:rPr>
          <w:lang w:val="ru-RU"/>
        </w:rPr>
        <w:t xml:space="preserve"> быть учтено как публикация в соответствии с пп.3.</w:t>
      </w:r>
    </w:p>
  </w:footnote>
  <w:footnote w:id="5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>
        <w:t xml:space="preserve"> </w:t>
      </w:r>
      <w:r w:rsidRPr="001D2CD2">
        <w:rPr>
          <w:lang w:val="ru-RU"/>
        </w:rPr>
        <w:t xml:space="preserve">Публикации любого вида в коммерческих изданиях, в том числе перечисленных в </w:t>
      </w:r>
      <w:hyperlink r:id="rId1" w:tgtFrame="_blank" w:history="1">
        <w:r w:rsidRPr="001D2CD2">
          <w:rPr>
            <w:rStyle w:val="a3"/>
          </w:rPr>
          <w:t>https://scientometrics.hse.ru/blacklist</w:t>
        </w:r>
      </w:hyperlink>
      <w:r w:rsidRPr="001D2CD2">
        <w:rPr>
          <w:color w:val="000000"/>
          <w:lang w:val="ru-RU"/>
        </w:rPr>
        <w:t>,</w:t>
      </w:r>
      <w:r w:rsidRPr="001D2CD2">
        <w:rPr>
          <w:lang w:val="ru-RU"/>
        </w:rPr>
        <w:t xml:space="preserve"> не учитываются.</w:t>
      </w:r>
    </w:p>
  </w:footnote>
  <w:footnote w:id="6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hyperlink r:id="rId2" w:history="1">
        <w:r w:rsidRPr="001D2CD2">
          <w:rPr>
            <w:rStyle w:val="a3"/>
          </w:rPr>
          <w:t>https://scientometrics.hse.ru/quartiles</w:t>
        </w:r>
      </w:hyperlink>
      <w:r w:rsidRPr="001D2CD2">
        <w:rPr>
          <w:lang w:val="ru-RU"/>
        </w:rPr>
        <w:t xml:space="preserve"> </w:t>
      </w:r>
    </w:p>
  </w:footnote>
  <w:footnote w:id="7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hyperlink r:id="rId3" w:history="1">
        <w:r w:rsidRPr="001D2CD2">
          <w:rPr>
            <w:rStyle w:val="a3"/>
          </w:rPr>
          <w:t>https://scientometrics.hse.ru/conferences</w:t>
        </w:r>
      </w:hyperlink>
      <w:r w:rsidRPr="001D2CD2">
        <w:rPr>
          <w:lang w:val="ru-RU"/>
        </w:rPr>
        <w:t xml:space="preserve"> </w:t>
      </w:r>
    </w:p>
  </w:footnote>
  <w:footnote w:id="8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hyperlink r:id="rId4" w:history="1">
        <w:r w:rsidRPr="001D2CD2">
          <w:rPr>
            <w:rStyle w:val="a3"/>
          </w:rPr>
          <w:t>https://scientometrics.hse.ru/quartiles</w:t>
        </w:r>
      </w:hyperlink>
      <w:r w:rsidRPr="001D2CD2">
        <w:rPr>
          <w:lang w:val="ru-RU"/>
        </w:rPr>
        <w:t xml:space="preserve"> </w:t>
      </w:r>
    </w:p>
  </w:footnote>
  <w:footnote w:id="9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hyperlink r:id="rId5" w:history="1">
        <w:r w:rsidRPr="001D2CD2">
          <w:rPr>
            <w:rStyle w:val="a3"/>
          </w:rPr>
          <w:t>https://scientometrics.hse.ru/goodjournals</w:t>
        </w:r>
      </w:hyperlink>
      <w:r w:rsidRPr="001D2CD2">
        <w:rPr>
          <w:lang w:val="ru-RU"/>
        </w:rPr>
        <w:t xml:space="preserve"> </w:t>
      </w:r>
    </w:p>
  </w:footnote>
  <w:footnote w:id="10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На конкурс может быть представлено не более двух статей данного уровня.</w:t>
      </w:r>
    </w:p>
  </w:footnote>
  <w:footnote w:id="11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На конкурс может быть предоставлено не более двух публикаций указанного уровня.</w:t>
      </w:r>
    </w:p>
  </w:footnote>
  <w:footnote w:id="12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 xml:space="preserve">  За исключением олимпиады для </w:t>
      </w:r>
      <w:proofErr w:type="gramStart"/>
      <w:r w:rsidRPr="001D2CD2">
        <w:rPr>
          <w:lang w:val="ru-RU"/>
        </w:rPr>
        <w:t>поступающих</w:t>
      </w:r>
      <w:proofErr w:type="gramEnd"/>
      <w:r w:rsidRPr="001D2CD2">
        <w:rPr>
          <w:lang w:val="ru-RU"/>
        </w:rPr>
        <w:t xml:space="preserve"> в магистратуру НИУ ВШЭ.</w:t>
      </w:r>
    </w:p>
  </w:footnote>
  <w:footnote w:id="13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14">
    <w:p w:rsidR="00876641" w:rsidRPr="001D2CD2" w:rsidRDefault="00876641" w:rsidP="00096D36">
      <w:pPr>
        <w:pStyle w:val="af8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 xml:space="preserve">  За исключением олимпиады для </w:t>
      </w:r>
      <w:proofErr w:type="gramStart"/>
      <w:r w:rsidRPr="001D2CD2">
        <w:rPr>
          <w:lang w:val="ru-RU"/>
        </w:rPr>
        <w:t>поступающих</w:t>
      </w:r>
      <w:proofErr w:type="gramEnd"/>
      <w:r w:rsidRPr="001D2CD2">
        <w:rPr>
          <w:lang w:val="ru-RU"/>
        </w:rPr>
        <w:t xml:space="preserve"> в магистратуру НИУ ВШЭ.</w:t>
      </w:r>
    </w:p>
  </w:footnote>
  <w:footnote w:id="15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16">
    <w:p w:rsidR="00876641" w:rsidRPr="001D2CD2" w:rsidRDefault="00876641" w:rsidP="00096D36">
      <w:pPr>
        <w:pStyle w:val="af8"/>
        <w:jc w:val="both"/>
        <w:rPr>
          <w:lang w:val="ru-RU" w:eastAsia="x-none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Проектная деятельность подразумевает отсутствие пассивных участников, отдельные этапы реализации (ступень, уровни) и результат, выраженный, как правило, документально</w:t>
      </w:r>
    </w:p>
  </w:footnote>
  <w:footnote w:id="17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Исполнитель – участвует непосредственно в </w:t>
      </w:r>
      <w:r w:rsidRPr="001D2CD2">
        <w:rPr>
          <w:lang w:val="ru-RU"/>
        </w:rPr>
        <w:t xml:space="preserve">проекте, но не имеет персональной </w:t>
      </w:r>
      <w:r w:rsidRPr="001D2CD2">
        <w:t xml:space="preserve">зоны </w:t>
      </w:r>
      <w:r w:rsidRPr="001D2CD2">
        <w:rPr>
          <w:lang w:val="ru-RU"/>
        </w:rPr>
        <w:t>ответственности</w:t>
      </w:r>
    </w:p>
  </w:footnote>
  <w:footnote w:id="18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</w:t>
      </w:r>
      <w:r w:rsidRPr="001D2CD2">
        <w:rPr>
          <w:lang w:val="ru-RU"/>
        </w:rPr>
        <w:t>Ведущий исполнитель – участник проекта, отвечающий за определенную часть проекта.</w:t>
      </w:r>
    </w:p>
  </w:footnote>
  <w:footnote w:id="19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Руководитель – руководитель </w:t>
      </w:r>
      <w:r w:rsidRPr="001D2CD2">
        <w:rPr>
          <w:lang w:val="ru-RU"/>
        </w:rPr>
        <w:t>проекта</w:t>
      </w:r>
      <w:r w:rsidRPr="001D2CD2">
        <w:t xml:space="preserve">, полностью контролирует все процессы подготовки и проведения </w:t>
      </w:r>
      <w:r w:rsidRPr="001D2CD2">
        <w:rPr>
          <w:lang w:val="ru-RU"/>
        </w:rPr>
        <w:t>проекта.</w:t>
      </w:r>
    </w:p>
  </w:footnote>
  <w:footnote w:id="20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Волонтер – участвует непосредственно в </w:t>
      </w:r>
      <w:r w:rsidRPr="001D2CD2">
        <w:rPr>
          <w:lang w:val="ru-RU"/>
        </w:rPr>
        <w:t>проведении мероприятия, но не имеет персональной зоны ответственности</w:t>
      </w:r>
    </w:p>
  </w:footnote>
  <w:footnote w:id="21">
    <w:p w:rsidR="00876641" w:rsidRPr="001D2CD2" w:rsidRDefault="00876641" w:rsidP="00096D36">
      <w:pPr>
        <w:pStyle w:val="af8"/>
        <w:jc w:val="both"/>
        <w:rPr>
          <w:lang w:val="ru-RU"/>
        </w:rPr>
      </w:pPr>
      <w:r w:rsidRPr="001D2CD2">
        <w:rPr>
          <w:rStyle w:val="ac"/>
        </w:rPr>
        <w:footnoteRef/>
      </w:r>
      <w:r w:rsidRPr="001D2CD2">
        <w:t xml:space="preserve"> Организатор – участвует в подготовке </w:t>
      </w:r>
      <w:r w:rsidRPr="001D2CD2">
        <w:rPr>
          <w:lang w:val="ru-RU"/>
        </w:rPr>
        <w:t xml:space="preserve">и реализации </w:t>
      </w:r>
      <w:r w:rsidRPr="001D2CD2">
        <w:t xml:space="preserve">мероприятия, </w:t>
      </w:r>
      <w:r w:rsidRPr="001D2CD2">
        <w:rPr>
          <w:lang w:val="ru-RU"/>
        </w:rPr>
        <w:t>будучи ответственным</w:t>
      </w:r>
      <w:r w:rsidRPr="001D2CD2">
        <w:t xml:space="preserve"> за какую-либо зону деятельности.</w:t>
      </w:r>
    </w:p>
  </w:footnote>
  <w:footnote w:id="22">
    <w:p w:rsidR="00876641" w:rsidRPr="00876641" w:rsidRDefault="00876641" w:rsidP="00876641">
      <w:pPr>
        <w:pStyle w:val="af5"/>
        <w:jc w:val="both"/>
      </w:pPr>
      <w:r w:rsidRPr="00876641">
        <w:rPr>
          <w:rStyle w:val="ac"/>
          <w:color w:val="auto"/>
          <w:sz w:val="20"/>
        </w:rPr>
        <w:footnoteRef/>
      </w:r>
      <w:r w:rsidRPr="00876641">
        <w:rPr>
          <w:color w:val="auto"/>
          <w:sz w:val="20"/>
        </w:rPr>
        <w:t xml:space="preserve"> Руководитель – руководитель мероприятия, полностью контролирует все процессы подготовки и проведения мероприятия.</w:t>
      </w:r>
    </w:p>
  </w:footnote>
  <w:footnote w:id="23">
    <w:p w:rsidR="00876641" w:rsidRPr="00876641" w:rsidRDefault="00876641" w:rsidP="00096D36">
      <w:pPr>
        <w:pStyle w:val="af8"/>
        <w:jc w:val="both"/>
      </w:pPr>
      <w:r w:rsidRPr="00876641">
        <w:rPr>
          <w:rStyle w:val="ac"/>
        </w:rPr>
        <w:footnoteRef/>
      </w:r>
      <w:r w:rsidRPr="00876641">
        <w:t xml:space="preserve"> Исполнитель – это </w:t>
      </w:r>
      <w:r w:rsidRPr="00876641">
        <w:rPr>
          <w:lang w:val="ru-RU"/>
        </w:rPr>
        <w:t>участник</w:t>
      </w:r>
      <w:r w:rsidRPr="00876641">
        <w:t xml:space="preserve"> мероприяти</w:t>
      </w:r>
      <w:r w:rsidRPr="00876641">
        <w:rPr>
          <w:lang w:val="ru-RU"/>
        </w:rPr>
        <w:t>я</w:t>
      </w:r>
      <w:r w:rsidRPr="00876641">
        <w:t>, осуществляющий помощь и поддержку в его проведении на основе инструкций организаторов.</w:t>
      </w:r>
    </w:p>
  </w:footnote>
  <w:footnote w:id="24">
    <w:p w:rsidR="00876641" w:rsidRPr="00876641" w:rsidRDefault="00876641" w:rsidP="00096D36">
      <w:pPr>
        <w:pStyle w:val="af8"/>
        <w:jc w:val="both"/>
      </w:pPr>
      <w:r w:rsidRPr="00876641">
        <w:rPr>
          <w:rStyle w:val="ac"/>
        </w:rPr>
        <w:footnoteRef/>
      </w:r>
      <w:r w:rsidRPr="00876641">
        <w:t xml:space="preserve"> Организатор – это непосредственный создатель мероприятия и</w:t>
      </w:r>
      <w:r w:rsidRPr="00876641">
        <w:rPr>
          <w:lang w:val="ru-RU"/>
        </w:rPr>
        <w:t>/и</w:t>
      </w:r>
      <w:r w:rsidRPr="00876641">
        <w:t>ли член оргкомитета мероприятия, отвечающий за организацию и руководство  мероприятием или какой-то его частью.</w:t>
      </w:r>
    </w:p>
  </w:footnote>
  <w:footnote w:id="25">
    <w:p w:rsidR="00876641" w:rsidRPr="00876641" w:rsidRDefault="00876641" w:rsidP="00096D36">
      <w:pPr>
        <w:pStyle w:val="af8"/>
        <w:jc w:val="both"/>
        <w:rPr>
          <w:sz w:val="26"/>
          <w:szCs w:val="26"/>
          <w:lang w:val="ru-RU"/>
        </w:rPr>
      </w:pPr>
      <w:r w:rsidRPr="001D2CD2">
        <w:rPr>
          <w:rStyle w:val="ac"/>
        </w:rPr>
        <w:footnoteRef/>
      </w:r>
      <w:r w:rsidRPr="001D2CD2">
        <w:t xml:space="preserve"> под спортивной деятельностью в настоящем приложении понимается организованная по определённым правилам деятельность, состоящая в сопоставлении физических и/или интеллектуальных способностей</w:t>
      </w:r>
      <w:r w:rsidRPr="001D2CD2">
        <w:rPr>
          <w:lang w:val="ru-RU"/>
        </w:rPr>
        <w:t xml:space="preserve">, в </w:t>
      </w:r>
      <w:proofErr w:type="spellStart"/>
      <w:r w:rsidRPr="001D2CD2">
        <w:rPr>
          <w:lang w:val="ru-RU"/>
        </w:rPr>
        <w:t>т.ч</w:t>
      </w:r>
      <w:proofErr w:type="spellEnd"/>
      <w:r w:rsidRPr="001D2CD2">
        <w:rPr>
          <w:lang w:val="ru-RU"/>
        </w:rPr>
        <w:t xml:space="preserve">. игра </w:t>
      </w:r>
      <w:proofErr w:type="spellStart"/>
      <w:r w:rsidRPr="001D2CD2">
        <w:rPr>
          <w:lang w:val="ru-RU"/>
        </w:rPr>
        <w:t>го</w:t>
      </w:r>
      <w:proofErr w:type="spellEnd"/>
      <w:r w:rsidRPr="001D2CD2">
        <w:rPr>
          <w:lang w:val="ru-RU"/>
        </w:rPr>
        <w:t xml:space="preserve">, </w:t>
      </w:r>
      <w:r w:rsidRPr="001D2CD2">
        <w:t xml:space="preserve">шахматы, игра «Что? Где? Когда?» и </w:t>
      </w:r>
      <w:proofErr w:type="spellStart"/>
      <w:r w:rsidRPr="001D2CD2">
        <w:t>киберспорт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6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7">
    <w:nsid w:val="44E424E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59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705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8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9">
    <w:nsid w:val="503D7BB3"/>
    <w:multiLevelType w:val="multilevel"/>
    <w:tmpl w:val="0164A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6" w:hanging="1800"/>
      </w:pPr>
      <w:rPr>
        <w:rFonts w:hint="default"/>
      </w:rPr>
    </w:lvl>
  </w:abstractNum>
  <w:abstractNum w:abstractNumId="10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 Безукладникова">
    <w15:presenceInfo w15:providerId="Windows Live" w15:userId="f222309acc873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23DD3"/>
    <w:rsid w:val="00042612"/>
    <w:rsid w:val="00047C33"/>
    <w:rsid w:val="0005539B"/>
    <w:rsid w:val="00066D84"/>
    <w:rsid w:val="00071C45"/>
    <w:rsid w:val="000731AD"/>
    <w:rsid w:val="00087FD9"/>
    <w:rsid w:val="00096D36"/>
    <w:rsid w:val="000A4A46"/>
    <w:rsid w:val="000E04C6"/>
    <w:rsid w:val="000E12E6"/>
    <w:rsid w:val="00107868"/>
    <w:rsid w:val="001078BF"/>
    <w:rsid w:val="00145427"/>
    <w:rsid w:val="001476CE"/>
    <w:rsid w:val="00180A91"/>
    <w:rsid w:val="001C6195"/>
    <w:rsid w:val="001D2CD2"/>
    <w:rsid w:val="001D774E"/>
    <w:rsid w:val="001E064F"/>
    <w:rsid w:val="00200A3D"/>
    <w:rsid w:val="00223ED4"/>
    <w:rsid w:val="00267305"/>
    <w:rsid w:val="00274CA1"/>
    <w:rsid w:val="002825C9"/>
    <w:rsid w:val="00284234"/>
    <w:rsid w:val="00293038"/>
    <w:rsid w:val="002D108D"/>
    <w:rsid w:val="002F470A"/>
    <w:rsid w:val="00304F47"/>
    <w:rsid w:val="00324F2D"/>
    <w:rsid w:val="00331054"/>
    <w:rsid w:val="00367105"/>
    <w:rsid w:val="00367FF4"/>
    <w:rsid w:val="00381DBB"/>
    <w:rsid w:val="003A5B9B"/>
    <w:rsid w:val="003C20E6"/>
    <w:rsid w:val="003C3AD5"/>
    <w:rsid w:val="003D6A93"/>
    <w:rsid w:val="003E2244"/>
    <w:rsid w:val="0045755C"/>
    <w:rsid w:val="00457DCF"/>
    <w:rsid w:val="00477E25"/>
    <w:rsid w:val="004909C1"/>
    <w:rsid w:val="004D0159"/>
    <w:rsid w:val="005201DF"/>
    <w:rsid w:val="00547678"/>
    <w:rsid w:val="00557AF1"/>
    <w:rsid w:val="00557CF0"/>
    <w:rsid w:val="005D2283"/>
    <w:rsid w:val="005D359B"/>
    <w:rsid w:val="005D3F67"/>
    <w:rsid w:val="005F6F47"/>
    <w:rsid w:val="00623051"/>
    <w:rsid w:val="00660E88"/>
    <w:rsid w:val="006A3F84"/>
    <w:rsid w:val="006F24A4"/>
    <w:rsid w:val="006F6EB0"/>
    <w:rsid w:val="00701CD5"/>
    <w:rsid w:val="007030DE"/>
    <w:rsid w:val="00707B33"/>
    <w:rsid w:val="007103A8"/>
    <w:rsid w:val="00712E93"/>
    <w:rsid w:val="00720428"/>
    <w:rsid w:val="0072372C"/>
    <w:rsid w:val="00750B47"/>
    <w:rsid w:val="00753166"/>
    <w:rsid w:val="00755158"/>
    <w:rsid w:val="007752D3"/>
    <w:rsid w:val="007847B4"/>
    <w:rsid w:val="00785C3C"/>
    <w:rsid w:val="007E7079"/>
    <w:rsid w:val="00806576"/>
    <w:rsid w:val="00815CDA"/>
    <w:rsid w:val="00826AD2"/>
    <w:rsid w:val="00827C77"/>
    <w:rsid w:val="0083339C"/>
    <w:rsid w:val="00853490"/>
    <w:rsid w:val="00857B4F"/>
    <w:rsid w:val="00857E6A"/>
    <w:rsid w:val="008637EF"/>
    <w:rsid w:val="00876641"/>
    <w:rsid w:val="00886466"/>
    <w:rsid w:val="00891FF6"/>
    <w:rsid w:val="008970A0"/>
    <w:rsid w:val="008B0A88"/>
    <w:rsid w:val="008B26B6"/>
    <w:rsid w:val="008F67AD"/>
    <w:rsid w:val="0090492D"/>
    <w:rsid w:val="00910527"/>
    <w:rsid w:val="009418B1"/>
    <w:rsid w:val="009471BF"/>
    <w:rsid w:val="0094778D"/>
    <w:rsid w:val="00973702"/>
    <w:rsid w:val="00981DBD"/>
    <w:rsid w:val="00997703"/>
    <w:rsid w:val="009C4F11"/>
    <w:rsid w:val="009D0947"/>
    <w:rsid w:val="009F0936"/>
    <w:rsid w:val="009F3D20"/>
    <w:rsid w:val="00A004B3"/>
    <w:rsid w:val="00A039CB"/>
    <w:rsid w:val="00A307B1"/>
    <w:rsid w:val="00A4244D"/>
    <w:rsid w:val="00A434CD"/>
    <w:rsid w:val="00A63897"/>
    <w:rsid w:val="00A66355"/>
    <w:rsid w:val="00A807A8"/>
    <w:rsid w:val="00AA645D"/>
    <w:rsid w:val="00AF0A03"/>
    <w:rsid w:val="00AF6E7A"/>
    <w:rsid w:val="00B21168"/>
    <w:rsid w:val="00B2449E"/>
    <w:rsid w:val="00B565FA"/>
    <w:rsid w:val="00B70AE2"/>
    <w:rsid w:val="00BA0B78"/>
    <w:rsid w:val="00BD58DD"/>
    <w:rsid w:val="00BE1AAF"/>
    <w:rsid w:val="00C03187"/>
    <w:rsid w:val="00C1496B"/>
    <w:rsid w:val="00C225EC"/>
    <w:rsid w:val="00C23043"/>
    <w:rsid w:val="00C265DB"/>
    <w:rsid w:val="00C400E8"/>
    <w:rsid w:val="00C853A8"/>
    <w:rsid w:val="00C85981"/>
    <w:rsid w:val="00CA459D"/>
    <w:rsid w:val="00CC02D0"/>
    <w:rsid w:val="00CD308B"/>
    <w:rsid w:val="00CE0122"/>
    <w:rsid w:val="00CE42F5"/>
    <w:rsid w:val="00CF466B"/>
    <w:rsid w:val="00D00505"/>
    <w:rsid w:val="00D05EF8"/>
    <w:rsid w:val="00D16806"/>
    <w:rsid w:val="00D22E77"/>
    <w:rsid w:val="00D41AD7"/>
    <w:rsid w:val="00D5180D"/>
    <w:rsid w:val="00D96119"/>
    <w:rsid w:val="00DC0A29"/>
    <w:rsid w:val="00DC2ED3"/>
    <w:rsid w:val="00DD22C4"/>
    <w:rsid w:val="00DE241E"/>
    <w:rsid w:val="00DE6C46"/>
    <w:rsid w:val="00DE7A90"/>
    <w:rsid w:val="00DF2B27"/>
    <w:rsid w:val="00DF4F9B"/>
    <w:rsid w:val="00E13163"/>
    <w:rsid w:val="00E245A6"/>
    <w:rsid w:val="00E74252"/>
    <w:rsid w:val="00E97174"/>
    <w:rsid w:val="00EA381F"/>
    <w:rsid w:val="00EB0AF6"/>
    <w:rsid w:val="00F03FF7"/>
    <w:rsid w:val="00F07A57"/>
    <w:rsid w:val="00F12ECA"/>
    <w:rsid w:val="00F1653E"/>
    <w:rsid w:val="00F37876"/>
    <w:rsid w:val="00F426A7"/>
    <w:rsid w:val="00F71130"/>
    <w:rsid w:val="00F861DF"/>
    <w:rsid w:val="00F929FF"/>
    <w:rsid w:val="00F96971"/>
    <w:rsid w:val="00FD1A4B"/>
    <w:rsid w:val="00FD1D68"/>
    <w:rsid w:val="00FE17FE"/>
    <w:rsid w:val="00FF004E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5507091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496218638D541C6AA72E66F42F1CE2A161F105A9DF0C8227F366CFBAB4CF98388EF30A39A117C7yEiAM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1DF8-BDA2-4994-99D0-ED346A1C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Имя2</dc:creator>
  <cp:lastModifiedBy>Студент НИУ ВШЭ</cp:lastModifiedBy>
  <cp:revision>4</cp:revision>
  <cp:lastPrinted>2017-04-26T09:55:00Z</cp:lastPrinted>
  <dcterms:created xsi:type="dcterms:W3CDTF">2017-05-15T10:13:00Z</dcterms:created>
  <dcterms:modified xsi:type="dcterms:W3CDTF">2017-05-15T10:22:00Z</dcterms:modified>
</cp:coreProperties>
</file>