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8" w:rsidRDefault="00BE1608" w:rsidP="00BE1608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E1608">
        <w:rPr>
          <w:rFonts w:ascii="Times New Roman" w:hAnsi="Times New Roman" w:cs="Times New Roman"/>
          <w:b/>
          <w:color w:val="000000"/>
          <w:sz w:val="28"/>
          <w:szCs w:val="28"/>
        </w:rPr>
        <w:t>Полозова Ольга Александровна</w:t>
      </w:r>
    </w:p>
    <w:p w:rsidR="00BE1608" w:rsidRPr="00403213" w:rsidRDefault="00BE1608" w:rsidP="00BE1608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3213">
        <w:rPr>
          <w:rFonts w:ascii="Times New Roman" w:hAnsi="Times New Roman" w:cs="Times New Roman"/>
          <w:color w:val="000000"/>
          <w:sz w:val="28"/>
          <w:szCs w:val="28"/>
        </w:rPr>
        <w:t>преподаватель биологии, химии,</w:t>
      </w:r>
    </w:p>
    <w:p w:rsidR="00BE1608" w:rsidRPr="00403213" w:rsidRDefault="00BE1608" w:rsidP="00BE1608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3213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экологических основ природопользования</w:t>
      </w:r>
    </w:p>
    <w:p w:rsidR="00BE1608" w:rsidRPr="00403213" w:rsidRDefault="00BE1608" w:rsidP="00BE1608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3213">
        <w:rPr>
          <w:rFonts w:ascii="Times New Roman" w:hAnsi="Times New Roman" w:cs="Times New Roman"/>
          <w:color w:val="000000"/>
          <w:sz w:val="28"/>
          <w:szCs w:val="28"/>
        </w:rPr>
        <w:t>высшей квалификационной категории</w:t>
      </w:r>
    </w:p>
    <w:p w:rsidR="00BE1608" w:rsidRDefault="00BE1608" w:rsidP="00BE1608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E4125">
        <w:rPr>
          <w:rFonts w:ascii="Times New Roman" w:hAnsi="Times New Roman" w:cs="Times New Roman"/>
          <w:color w:val="000000"/>
          <w:sz w:val="28"/>
          <w:szCs w:val="28"/>
        </w:rPr>
        <w:t>ГБПОУ «</w:t>
      </w:r>
      <w:proofErr w:type="spellStart"/>
      <w:r w:rsidRPr="00FE4125">
        <w:rPr>
          <w:rFonts w:ascii="Times New Roman" w:hAnsi="Times New Roman" w:cs="Times New Roman"/>
          <w:color w:val="000000"/>
          <w:sz w:val="28"/>
          <w:szCs w:val="28"/>
        </w:rPr>
        <w:t>Березниковский</w:t>
      </w:r>
      <w:proofErr w:type="spellEnd"/>
      <w:r w:rsidRPr="00FE4125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техникум»</w:t>
      </w:r>
    </w:p>
    <w:p w:rsidR="00FE4125" w:rsidRPr="00FE4125" w:rsidRDefault="00FE4125" w:rsidP="00BE1608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A4445A" w:rsidRDefault="00BE1608" w:rsidP="00BE1608">
      <w:pPr>
        <w:tabs>
          <w:tab w:val="left" w:pos="709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608">
        <w:rPr>
          <w:rFonts w:ascii="Times New Roman" w:hAnsi="Times New Roman" w:cs="Times New Roman"/>
          <w:b/>
          <w:color w:val="000000"/>
          <w:sz w:val="28"/>
          <w:szCs w:val="28"/>
        </w:rPr>
        <w:t>Игровая деятельность как форма социализации личности студентов</w:t>
      </w:r>
      <w:r w:rsidR="002C64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B504B5" w:rsidRPr="002C64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Образование в Российской Федерации</w:t>
      </w:r>
      <w:r w:rsidR="00661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- </w:t>
      </w:r>
      <w:r w:rsidR="00B504B5" w:rsidRPr="002C6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совокупность приобретаемых знаний, умений, навыков, ценностных установок, опыта деятельности и </w:t>
      </w:r>
      <w:proofErr w:type="gramStart"/>
      <w:r w:rsidR="00B504B5" w:rsidRPr="002C6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компетенции</w:t>
      </w:r>
      <w:proofErr w:type="gramEnd"/>
      <w:r w:rsidR="00B504B5" w:rsidRPr="002C6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9F0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6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2016 – 2017 учебном году в профессиональных учреждениях вступили в силу ФГОС+. </w:t>
      </w:r>
      <w:r w:rsidR="00661562" w:rsidRPr="00661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Ушла в прошлое задача </w:t>
      </w:r>
      <w:r w:rsidR="00661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передачи</w:t>
      </w:r>
      <w:r w:rsidR="00661562" w:rsidRPr="00661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учителя ученику </w:t>
      </w:r>
      <w:r w:rsidR="00661562" w:rsidRPr="00661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 знаний. На смену приходит новая функция образования – способствовать развитию самостоятельной и ответственной личности, воспитанию творческой индивидуальности.</w:t>
      </w:r>
      <w:r w:rsidR="00661562" w:rsidRPr="006615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615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этим растут новые требования и к компетентности учителя, который </w:t>
      </w:r>
      <w:proofErr w:type="spellStart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сиремиться</w:t>
      </w:r>
      <w:proofErr w:type="spellEnd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5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использовать новые технологии с целью развития познавательной, творческой активности </w:t>
      </w:r>
      <w:proofErr w:type="gramStart"/>
      <w:r w:rsidR="006615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6615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F0ABD" w:rsidRDefault="00A4445A" w:rsidP="00A4445A">
      <w:pPr>
        <w:tabs>
          <w:tab w:val="left" w:pos="709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spellStart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Гуманизация</w:t>
      </w:r>
      <w:proofErr w:type="spellEnd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современного </w:t>
      </w:r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направлена на формирование сильной личности, которая может организовывать собственную деятельность, выполнять типовые методы и способы выполнения профессиональных задач, оценивать их эффективность и качество (</w:t>
      </w:r>
      <w:proofErr w:type="gramStart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2), принимать решения в стандартных и нестандартных ситуациях и нести за них ответственность (ОК 3),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 Работать в коллективе, в команде, эффективно общаться с коллегами, руководством, потребителями (</w:t>
      </w:r>
      <w:proofErr w:type="gramStart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6), планировать </w:t>
      </w:r>
      <w:r w:rsidR="00A0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работу (</w:t>
      </w:r>
      <w:r w:rsidR="009007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ПК 4.1.), проводить анализ сырья, материалов и готовой продукции (ПК 2.1) и др.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[2] </w:t>
      </w:r>
    </w:p>
    <w:p w:rsidR="00F42DD2" w:rsidRDefault="009F0ABD" w:rsidP="00A4445A">
      <w:pPr>
        <w:tabs>
          <w:tab w:val="left" w:pos="709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9007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к выпускнику техникума предъявляются достаточно сложные требования. Как научить студента выполнять эти требования? Обучение должно вестись комплексно, с 1 по 4 курс, на </w:t>
      </w:r>
      <w:proofErr w:type="gramStart"/>
      <w:r w:rsidR="009007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каждом</w:t>
      </w:r>
      <w:proofErr w:type="gramEnd"/>
      <w:r w:rsidR="009007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предмете. И уже на первых курсах мы можем достичь определённых результатов, в особенности при применении технологии игрового обучения, решения ситуационных задач, применения </w:t>
      </w:r>
      <w:proofErr w:type="spellStart"/>
      <w:r w:rsidR="009007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компетентностно</w:t>
      </w:r>
      <w:proofErr w:type="spellEnd"/>
      <w:r w:rsidR="009007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ориентированных заданий (КОЗ).</w:t>
      </w:r>
    </w:p>
    <w:p w:rsidR="0090078F" w:rsidRDefault="0090078F" w:rsidP="009F0ABD">
      <w:pPr>
        <w:tabs>
          <w:tab w:val="left" w:pos="709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Одним из примеров </w:t>
      </w:r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использования КОЗ приведу пример: «Мы привыкли говорить, что камни вечны. Однако минералы, из которых состоят камни, устойчивы только при определённых температурах, давлении, составе окружающей среды. Плотные известняки начинают разрушаться через 75 – 150 лет, они приходят в угрожающее состояние через 200 – 400 лет, окончательное разрушение происходит через 1200 лет. Что угрожает архитектурным сооружениям? Как спасти памятники? Обучающиеся ищут ответы на вопросы (источники – ТЭС,  выброс </w:t>
      </w:r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</w:t>
      </w:r>
      <w:r w:rsidR="006F3AA6" w:rsidRP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помощь – известковая обмазка, </w:t>
      </w:r>
      <w:proofErr w:type="spellStart"/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фирнисы</w:t>
      </w:r>
      <w:proofErr w:type="spellEnd"/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ганозис</w:t>
      </w:r>
      <w:proofErr w:type="spellEnd"/>
      <w:r w:rsidR="006F3A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 результате студенты используют не только известные им данные с уроков химии, экологии, но и знакомятся с новыми материалами, повышают свой интеллектуальный уровень.</w:t>
      </w:r>
    </w:p>
    <w:p w:rsidR="006F3AA6" w:rsidRDefault="006F3AA6" w:rsidP="009F0ABD">
      <w:pPr>
        <w:tabs>
          <w:tab w:val="left" w:pos="709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ли говорить о таких игровых приёмах («Счастливый случай», «Умники и умницы», «Своя игра», </w:t>
      </w:r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«Что?</w:t>
      </w:r>
      <w:proofErr w:type="gramEnd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Где? </w:t>
      </w:r>
      <w:proofErr w:type="gramStart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Когда?»)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созданных на основе телепередач, которые много лет используют многие преподаватели?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</w:t>
      </w:r>
      <w:proofErr w:type="gramEnd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 вовлекаются в игру. По Г</w:t>
      </w:r>
      <w:proofErr w:type="gramStart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,К</w:t>
      </w:r>
      <w:proofErr w:type="gramEnd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Селевко</w:t>
      </w:r>
      <w:proofErr w:type="spellEnd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игра решает многие функции. Во-первых, повышается мотивация к обучению. Вторая роль игры – коммуникативная, третья – терапевтическая (преодоление различных трудностей, возникающих в других видах деятельности). А также выявление отклонений от нормативного поведения, усвоение социально – культурных ценностей, норм социального общения. Игра должна помогать </w:t>
      </w:r>
      <w:proofErr w:type="gramStart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неавторитетным</w:t>
      </w:r>
      <w:proofErr w:type="gramEnd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укрепить авторитет, неактивным – проявить активность. Недисциплинированным – стать организованным. На практике так и </w:t>
      </w:r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получается: например, лучше всех </w:t>
      </w:r>
      <w:proofErr w:type="spellStart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синквейн</w:t>
      </w:r>
      <w:proofErr w:type="spellEnd"/>
      <w:r w:rsidR="004A13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помогают составить </w:t>
      </w:r>
      <w:r w:rsidR="00596C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слабые ученики (а казалось, что они даже не слушают на уроке), замкнутые ребята начинают общаться в команде, а порой даже инициатива переходит к ним.</w:t>
      </w:r>
    </w:p>
    <w:p w:rsidR="00596CC0" w:rsidRDefault="00596CC0" w:rsidP="009F0ABD">
      <w:pPr>
        <w:tabs>
          <w:tab w:val="left" w:pos="709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Студенты очень любят уроки с использование игр: «Урок – аукцион» (по теме «Классификация неорганических веществ»), «Расследование Шерлока Холмса» (по распознаванию неорганических веществ, урок – практикум). Игра «Верю – не верю» (предлагаются верные и неверные  утверждения)</w:t>
      </w:r>
      <w:r w:rsidR="00E336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ребусы, кроссворды.</w:t>
      </w:r>
    </w:p>
    <w:p w:rsidR="00B04C93" w:rsidRDefault="00E3364B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Деловые игры – более высокий уровень урока в игровой форме, т.к. предъявляет особые требования к участникам (здесь и начинают проявляться компетенции, которые  необходимы для формирования профессионала). </w:t>
      </w:r>
      <w:r w:rsidR="00B04C93" w:rsidRPr="00B04C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04C93" w:rsidRPr="00B04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Деловая игра — один из видов педагогических игр по игровой методике, которая используется для решения комплексных задач усвоения нового, закрепления материала, развития творческих способностей, формирования</w:t>
      </w:r>
      <w:r w:rsidR="00B04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04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общеучебных</w:t>
      </w:r>
      <w:proofErr w:type="spellEnd"/>
      <w:r w:rsidR="00B04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умений, даёт возможность студентам понять и изучить учебный м</w:t>
      </w:r>
      <w:r w:rsidR="00A44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атериал с различных позиций». [3</w:t>
      </w:r>
      <w:r w:rsidR="00B04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9F0ABD" w:rsidRDefault="009F0ABD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333333"/>
          <w:sz w:val="25"/>
          <w:szCs w:val="25"/>
          <w:shd w:val="clear" w:color="auto" w:fill="FFFFFF"/>
        </w:rPr>
        <w:t xml:space="preserve">          </w:t>
      </w:r>
      <w:proofErr w:type="gramStart"/>
      <w:r w:rsidR="00E336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моей педагогической копилке есть урок «Лаборатория», где распределены роли участников: лаборанты (анализируют вещества), лаборант – </w:t>
      </w:r>
      <w:proofErr w:type="spellStart"/>
      <w:r w:rsidR="00E336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препараторщик</w:t>
      </w:r>
      <w:proofErr w:type="spellEnd"/>
      <w:r w:rsidR="00E336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(готовит точные растворы), зав. лабораторией (отслеживает результаты), пробоотборщик (отбирает пробы), технолог цеха (ведёт расчёты по результатам анализа).</w:t>
      </w:r>
      <w:proofErr w:type="gramEnd"/>
      <w:r w:rsidR="00E336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результате игровых действий участники должны уметь договариваться друг с другом по организации работ (способствует социализации личности), планировать, выполнять качественно работу</w:t>
      </w:r>
      <w:r w:rsidR="007B2C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вести расчёты, </w:t>
      </w:r>
      <w:r w:rsidR="00E336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оценивать результаты своей работы</w:t>
      </w:r>
      <w:r w:rsidR="007B2C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доказывать правильность выполнения работ, расчётов</w:t>
      </w:r>
      <w:r w:rsidR="00B04C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находить свои методы решения проблем</w:t>
      </w:r>
      <w:r w:rsidR="007B2C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(профессиональные компетенции).</w:t>
      </w:r>
      <w:r w:rsidR="00B04C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Повышается эффективность урока, за меньшее время обучающийся «проживает»  профессиональный сюжет, </w:t>
      </w:r>
      <w:r w:rsidR="00A444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учится самостоятельно мыслить,</w:t>
      </w:r>
      <w:r w:rsidR="00B04C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повышается интерес к своей будущей профессии</w:t>
      </w:r>
      <w:r w:rsidR="00A444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Обучающийся обучается в деятельности, а не механически заучивает предмет. В деловой игре раскрываются </w:t>
      </w:r>
      <w:proofErr w:type="spellStart"/>
      <w:r w:rsidR="00A444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метапредметные</w:t>
      </w:r>
      <w:proofErr w:type="spellEnd"/>
      <w:r w:rsidR="00A444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результаты, 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</w:t>
      </w:r>
      <w:proofErr w:type="gramStart"/>
      <w:r w:rsidRPr="009F0A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.«</w:t>
      </w:r>
      <w:proofErr w:type="gramEnd"/>
      <w:r w:rsidR="00A4445A" w:rsidRPr="009F0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освоенные</w:t>
      </w:r>
      <w:proofErr w:type="spellEnd"/>
      <w:r w:rsidR="00A4445A" w:rsidRPr="009F0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45A" w:rsidRPr="009F0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обучающимися на базе одного, нескольких или всех учебных предметов способы деятельности, применимые как в рамках образовательного процесса, так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при решении проблем в реальных жизненных ситуациях».</w:t>
      </w:r>
      <w:r w:rsidRPr="009F0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</w:t>
      </w:r>
    </w:p>
    <w:p w:rsidR="00981106" w:rsidRDefault="00981106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«Ролевое рассуждение» - я раздаю участникам листочки с заданиями, в какой роли должен выступить обучающийся (лесник, активный общественник, правительство, промышленник, природоохранная прокуратура и т.д. </w:t>
      </w:r>
      <w:r w:rsidR="00FB7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проходит дискуссия.</w:t>
      </w:r>
      <w:proofErr w:type="gramEnd"/>
      <w:r w:rsidR="00FB7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выступает либо в защиту окружающей среды, либо приводит свои аргументы.</w:t>
      </w:r>
      <w:r w:rsidR="00FB7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Роли распределяются в зависимости от способностей обучающихся. Остальные студенты должны определить, какую роль каждый представлял.</w:t>
      </w:r>
    </w:p>
    <w:p w:rsidR="00805F76" w:rsidRDefault="00D5403A" w:rsidP="00D540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A809B4" w:rsidRPr="0098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Социализация представляет собой развитие человека на </w:t>
      </w:r>
      <w:proofErr w:type="gramStart"/>
      <w:r w:rsidR="00A809B4" w:rsidRPr="0098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протяжении</w:t>
      </w:r>
      <w:proofErr w:type="gramEnd"/>
      <w:r w:rsidR="00A809B4" w:rsidRPr="0098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всей его жизни</w:t>
      </w:r>
      <w:r w:rsidR="00A80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взаимодействии с окружающими людьми</w:t>
      </w:r>
      <w:r w:rsidR="00A809B4" w:rsidRPr="0098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он усваивает социальный опыт и активно реализует себя, изменяя и жизненные обстоятельства. </w:t>
      </w:r>
      <w:r w:rsidR="00A80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Социализация проявляется и в реализации себя в обществе, в собственной активности, в развитии коммуникативных навыков. Я провела диагностику коммуникативных навыков в экспериментальной и контрольной группах, имеющих примерно равный средний балл. Одна из групп работала в течение года по игровой технологии. </w:t>
      </w:r>
    </w:p>
    <w:p w:rsidR="00805F76" w:rsidRDefault="00805F76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диагностики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8"/>
      </w:tblGrid>
      <w:tr w:rsidR="00805F76" w:rsidTr="0034788C">
        <w:tc>
          <w:tcPr>
            <w:tcW w:w="3227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Уровень коммуникативный</w:t>
            </w:r>
          </w:p>
        </w:tc>
        <w:tc>
          <w:tcPr>
            <w:tcW w:w="3118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Контрольная группа</w:t>
            </w:r>
          </w:p>
        </w:tc>
        <w:tc>
          <w:tcPr>
            <w:tcW w:w="3118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Экспериментальная группа</w:t>
            </w:r>
          </w:p>
        </w:tc>
      </w:tr>
      <w:tr w:rsidR="00805F76" w:rsidTr="0034788C">
        <w:tc>
          <w:tcPr>
            <w:tcW w:w="3227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Высокий</w:t>
            </w:r>
          </w:p>
        </w:tc>
        <w:tc>
          <w:tcPr>
            <w:tcW w:w="3118" w:type="dxa"/>
          </w:tcPr>
          <w:p w:rsidR="00805F76" w:rsidRDefault="00D5403A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20%</w:t>
            </w:r>
          </w:p>
        </w:tc>
        <w:tc>
          <w:tcPr>
            <w:tcW w:w="3118" w:type="dxa"/>
          </w:tcPr>
          <w:p w:rsidR="00805F76" w:rsidRDefault="00D5403A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31%</w:t>
            </w:r>
          </w:p>
        </w:tc>
      </w:tr>
      <w:tr w:rsidR="00805F76" w:rsidTr="0034788C">
        <w:tc>
          <w:tcPr>
            <w:tcW w:w="3227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Средний</w:t>
            </w:r>
          </w:p>
        </w:tc>
        <w:tc>
          <w:tcPr>
            <w:tcW w:w="3118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48%</w:t>
            </w:r>
          </w:p>
        </w:tc>
        <w:tc>
          <w:tcPr>
            <w:tcW w:w="3118" w:type="dxa"/>
          </w:tcPr>
          <w:p w:rsidR="00805F76" w:rsidRDefault="00D5403A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</w:t>
            </w:r>
            <w:r w:rsidR="00805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805F76" w:rsidTr="0034788C">
        <w:tc>
          <w:tcPr>
            <w:tcW w:w="3227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Низкий</w:t>
            </w:r>
          </w:p>
        </w:tc>
        <w:tc>
          <w:tcPr>
            <w:tcW w:w="3118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D54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3118" w:type="dxa"/>
          </w:tcPr>
          <w:p w:rsidR="00805F76" w:rsidRDefault="00805F76" w:rsidP="009F0AB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10%</w:t>
            </w:r>
          </w:p>
        </w:tc>
      </w:tr>
    </w:tbl>
    <w:p w:rsidR="00805F76" w:rsidRDefault="00805F76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09B4" w:rsidRDefault="00D5403A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A80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Полученные данные позволяют сделать выводы, что уровень коммуникативных умений в конце учебного года показал более высокие результаты в экспериментальной группе (преобладают высокий и средний уровень) </w:t>
      </w:r>
      <w:proofErr w:type="gramStart"/>
      <w:r w:rsidR="00A80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A80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в контрольной. Таким образом, </w:t>
      </w:r>
      <w:r w:rsidR="0080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проведённой </w:t>
      </w:r>
      <w:r w:rsidR="0080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работы подтвердил значение игровых технологий в формирование коммуникативных навыков студентов, а значит, их социализации. </w:t>
      </w:r>
    </w:p>
    <w:p w:rsidR="00F13824" w:rsidRDefault="00D5403A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С целью оценки формирования ответственности я предлагаю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пройти </w:t>
      </w:r>
      <w:r w:rsidR="00F13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 на ответственность [5]. Анализ теста показал, что в группе, где работа строилась с использованием ролевых, деловых игр повысился процент ответственности на 8% по сравнению с начальным этапом работы в экспериментальной группе.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A809B4" w:rsidRDefault="00D5403A" w:rsidP="009F0A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80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9F0ABD" w:rsidRPr="00745400" w:rsidRDefault="009F0ABD" w:rsidP="00F138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454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9F0ABD" w:rsidRPr="00745400" w:rsidRDefault="00FE4125" w:rsidP="00F13824">
      <w:pPr>
        <w:pStyle w:val="a8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9" w:anchor="st2" w:history="1">
        <w:r w:rsidR="009F0ABD" w:rsidRPr="007454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Статья 2 Федерального закона «Об образовании в Российской Федерации»</w:t>
        </w:r>
      </w:hyperlink>
      <w:r w:rsidR="009F0ABD" w:rsidRPr="00745400"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06D5" w:rsidRPr="00BB06D5" w:rsidRDefault="00BB06D5" w:rsidP="00F13824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государственный образовательный стандарт среднего профессионального образования по специальности 18.02.03 Химическая технология неорганических веществ</w:t>
      </w:r>
      <w:r w:rsidR="00745400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proofErr w:type="gramEnd"/>
      <w:r w:rsidR="00745400"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</w:t>
      </w:r>
      <w:r w:rsidR="00745400"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науки Российской Федерации</w:t>
      </w:r>
      <w:r w:rsidR="00745400"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апреля 2014 г. N 385</w:t>
      </w:r>
      <w:r w:rsidR="00745400" w:rsidRPr="0074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F0ABD" w:rsidRPr="00745400" w:rsidRDefault="009F0ABD" w:rsidP="00F138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Алёшина О. Г. Деловая игра как средство развития профессиональных компетенций студентов // Молодой ученый. — 2014. — №4. — С. 908-910.</w:t>
      </w:r>
    </w:p>
    <w:p w:rsidR="00E3364B" w:rsidRDefault="009F0ABD" w:rsidP="00F138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Васильева Т. 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науч. </w:t>
      </w:r>
      <w:proofErr w:type="spellStart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(г. Санкт-Петербург, январь 2014 г.). — СПб</w:t>
      </w:r>
      <w:proofErr w:type="gramStart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Заневская</w:t>
      </w:r>
      <w:proofErr w:type="spellEnd"/>
      <w:r w:rsidR="00A4445A" w:rsidRPr="007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площадь, 2014. — С. 74-76.</w:t>
      </w:r>
    </w:p>
    <w:p w:rsidR="00D5403A" w:rsidRPr="001409BC" w:rsidRDefault="00D5403A" w:rsidP="00F13824">
      <w:pPr>
        <w:shd w:val="clear" w:color="auto" w:fill="FFFFFF"/>
        <w:spacing w:after="0" w:line="360" w:lineRule="auto"/>
        <w:textAlignment w:val="top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doktor</w:t>
      </w:r>
      <w:proofErr w:type="spellEnd"/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altunin</w:t>
      </w:r>
      <w:proofErr w:type="spellEnd"/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narod</w:t>
      </w:r>
      <w:proofErr w:type="spellEnd"/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download</w:t>
      </w:r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Test</w:t>
      </w:r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otvetstvennost</w:t>
      </w:r>
      <w:proofErr w:type="spellEnd"/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_.</w:t>
      </w:r>
      <w:r w:rsidR="00F13824" w:rsidRPr="00F1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="00F13824" w:rsidRPr="001409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13D3" w:rsidRPr="001409BC" w:rsidRDefault="004A13D3" w:rsidP="00F13824">
      <w:pPr>
        <w:tabs>
          <w:tab w:val="left" w:pos="0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09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A06BFE" w:rsidRPr="001409BC" w:rsidRDefault="00A06BFE" w:rsidP="00F138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9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sectPr w:rsidR="00A06BFE" w:rsidRPr="001409BC" w:rsidSect="00B504B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9A" w:rsidRDefault="008D779A" w:rsidP="0090078F">
      <w:pPr>
        <w:spacing w:after="0" w:line="240" w:lineRule="auto"/>
      </w:pPr>
      <w:r>
        <w:separator/>
      </w:r>
    </w:p>
  </w:endnote>
  <w:endnote w:type="continuationSeparator" w:id="0">
    <w:p w:rsidR="008D779A" w:rsidRDefault="008D779A" w:rsidP="0090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6688"/>
      <w:docPartObj>
        <w:docPartGallery w:val="Page Numbers (Bottom of Page)"/>
        <w:docPartUnique/>
      </w:docPartObj>
    </w:sdtPr>
    <w:sdtEndPr/>
    <w:sdtContent>
      <w:p w:rsidR="00A809B4" w:rsidRDefault="00FE41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9B4" w:rsidRDefault="00A809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9A" w:rsidRDefault="008D779A" w:rsidP="0090078F">
      <w:pPr>
        <w:spacing w:after="0" w:line="240" w:lineRule="auto"/>
      </w:pPr>
      <w:r>
        <w:separator/>
      </w:r>
    </w:p>
  </w:footnote>
  <w:footnote w:type="continuationSeparator" w:id="0">
    <w:p w:rsidR="008D779A" w:rsidRDefault="008D779A" w:rsidP="0090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571"/>
    <w:multiLevelType w:val="hybridMultilevel"/>
    <w:tmpl w:val="82AA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DD2"/>
    <w:rsid w:val="001409BC"/>
    <w:rsid w:val="002C6466"/>
    <w:rsid w:val="00403213"/>
    <w:rsid w:val="004A13D3"/>
    <w:rsid w:val="004B670F"/>
    <w:rsid w:val="00596CC0"/>
    <w:rsid w:val="00661562"/>
    <w:rsid w:val="006F3AA6"/>
    <w:rsid w:val="00745400"/>
    <w:rsid w:val="007B2C27"/>
    <w:rsid w:val="00805F76"/>
    <w:rsid w:val="008D779A"/>
    <w:rsid w:val="0090078F"/>
    <w:rsid w:val="00981106"/>
    <w:rsid w:val="009F0ABD"/>
    <w:rsid w:val="00A06BFE"/>
    <w:rsid w:val="00A4445A"/>
    <w:rsid w:val="00A809B4"/>
    <w:rsid w:val="00A916E8"/>
    <w:rsid w:val="00B04C93"/>
    <w:rsid w:val="00B504B5"/>
    <w:rsid w:val="00BB06D5"/>
    <w:rsid w:val="00BE1608"/>
    <w:rsid w:val="00D12379"/>
    <w:rsid w:val="00D5403A"/>
    <w:rsid w:val="00E3364B"/>
    <w:rsid w:val="00F13824"/>
    <w:rsid w:val="00F42DD2"/>
    <w:rsid w:val="00FB76E4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0F"/>
  </w:style>
  <w:style w:type="paragraph" w:styleId="1">
    <w:name w:val="heading 1"/>
    <w:basedOn w:val="a"/>
    <w:link w:val="10"/>
    <w:uiPriority w:val="9"/>
    <w:qFormat/>
    <w:rsid w:val="00BB0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4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4B5"/>
  </w:style>
  <w:style w:type="character" w:customStyle="1" w:styleId="reference-text">
    <w:name w:val="reference-text"/>
    <w:basedOn w:val="a0"/>
    <w:rsid w:val="00B504B5"/>
  </w:style>
  <w:style w:type="paragraph" w:styleId="a4">
    <w:name w:val="header"/>
    <w:basedOn w:val="a"/>
    <w:link w:val="a5"/>
    <w:uiPriority w:val="99"/>
    <w:semiHidden/>
    <w:unhideWhenUsed/>
    <w:rsid w:val="0090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78F"/>
  </w:style>
  <w:style w:type="paragraph" w:styleId="a6">
    <w:name w:val="footer"/>
    <w:basedOn w:val="a"/>
    <w:link w:val="a7"/>
    <w:uiPriority w:val="99"/>
    <w:unhideWhenUsed/>
    <w:rsid w:val="0090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78F"/>
  </w:style>
  <w:style w:type="character" w:customStyle="1" w:styleId="10">
    <w:name w:val="Заголовок 1 Знак"/>
    <w:basedOn w:val="a0"/>
    <w:link w:val="1"/>
    <w:uiPriority w:val="9"/>
    <w:rsid w:val="00BB0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B06D5"/>
  </w:style>
  <w:style w:type="paragraph" w:styleId="a8">
    <w:name w:val="List Paragraph"/>
    <w:basedOn w:val="a"/>
    <w:uiPriority w:val="34"/>
    <w:qFormat/>
    <w:rsid w:val="00BB06D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4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9B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05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B707-EC19-4EA4-B000-17D2896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Веселкова Светлана Юрьевна</cp:lastModifiedBy>
  <cp:revision>11</cp:revision>
  <dcterms:created xsi:type="dcterms:W3CDTF">2016-12-18T16:17:00Z</dcterms:created>
  <dcterms:modified xsi:type="dcterms:W3CDTF">2017-03-07T09:03:00Z</dcterms:modified>
</cp:coreProperties>
</file>