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39" w:rsidRDefault="00970939" w:rsidP="00970939">
      <w:pPr>
        <w:widowControl w:val="0"/>
        <w:spacing w:after="0" w:line="360" w:lineRule="auto"/>
        <w:ind w:left="-567" w:right="20"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Частно-государственное партнерство в сфере общего, дошкольного и дополнительного образования.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Проблемы и возможные пути решения.</w:t>
      </w:r>
    </w:p>
    <w:p w:rsidR="00970939" w:rsidRDefault="00970939" w:rsidP="00970939">
      <w:pPr>
        <w:widowControl w:val="0"/>
        <w:spacing w:after="0" w:line="360" w:lineRule="auto"/>
        <w:ind w:left="-567" w:right="20" w:firstLine="30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Татьтяна Станиславовна Горбунова</w:t>
      </w:r>
    </w:p>
    <w:p w:rsidR="00970939" w:rsidRDefault="00970939" w:rsidP="00970939">
      <w:pPr>
        <w:widowControl w:val="0"/>
        <w:spacing w:after="0" w:line="360" w:lineRule="auto"/>
        <w:ind w:left="-567" w:right="20"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7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английского языка высшей 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0939" w:rsidRPr="00970939" w:rsidRDefault="00970939" w:rsidP="00970939">
      <w:pPr>
        <w:widowControl w:val="0"/>
        <w:spacing w:after="0" w:line="360" w:lineRule="auto"/>
        <w:ind w:left="-567" w:right="20"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лицей №1 г. Кунгур</w:t>
      </w:r>
    </w:p>
    <w:p w:rsidR="004F09D8" w:rsidRPr="00970939" w:rsidRDefault="004F09D8" w:rsidP="00970939">
      <w:pPr>
        <w:widowControl w:val="0"/>
        <w:spacing w:after="0" w:line="360" w:lineRule="auto"/>
        <w:ind w:left="-567" w:right="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«Сложившаяся в России сеть бюджетных образовательных учрежде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насчитывает в настоящее время более 135 тысяч учреждений, фи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нансирование которых осуществляется из средств бюджетов всех уров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бюджетной системы Российской Федерации. Основную массу таких учреждений составляют образовательные у</w:t>
      </w:r>
      <w:r w:rsid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муниципального уровня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09D8" w:rsidRPr="00970939" w:rsidRDefault="004F09D8" w:rsidP="00970939">
      <w:pPr>
        <w:widowControl w:val="0"/>
        <w:spacing w:after="0" w:line="360" w:lineRule="auto"/>
        <w:ind w:left="-567" w:right="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одной из основных задач по реализации государ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ственной политики в сфере образования является совершенствование управления стратегическим развитием системы российского образова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Важным элементом такого управления является управление ресур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сами системы образования.</w:t>
      </w:r>
    </w:p>
    <w:p w:rsidR="004F09D8" w:rsidRPr="00970939" w:rsidRDefault="004F09D8" w:rsidP="00970939">
      <w:pPr>
        <w:widowControl w:val="0"/>
        <w:spacing w:after="0" w:line="360" w:lineRule="auto"/>
        <w:ind w:left="-567" w:right="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образования должна развиваться в соответствии с принци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пами, заложенными в основу и</w:t>
      </w:r>
      <w:r w:rsidR="00970939"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нновационной экономики, то есть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09D8" w:rsidRPr="002C71AF" w:rsidRDefault="004F09D8" w:rsidP="002C71AF">
      <w:pPr>
        <w:pStyle w:val="a7"/>
        <w:widowControl w:val="0"/>
        <w:numPr>
          <w:ilvl w:val="0"/>
          <w:numId w:val="7"/>
        </w:numPr>
        <w:tabs>
          <w:tab w:val="left" w:pos="58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наукоемкой продукции;</w:t>
      </w:r>
    </w:p>
    <w:p w:rsidR="004F09D8" w:rsidRPr="002C71AF" w:rsidRDefault="004F09D8" w:rsidP="002C71AF">
      <w:pPr>
        <w:pStyle w:val="a7"/>
        <w:widowControl w:val="0"/>
        <w:numPr>
          <w:ilvl w:val="0"/>
          <w:numId w:val="7"/>
        </w:numPr>
        <w:tabs>
          <w:tab w:val="left" w:pos="58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современных технологий,</w:t>
      </w:r>
    </w:p>
    <w:p w:rsidR="004F09D8" w:rsidRPr="002C71AF" w:rsidRDefault="004F09D8" w:rsidP="002C71AF">
      <w:pPr>
        <w:pStyle w:val="a7"/>
        <w:widowControl w:val="0"/>
        <w:numPr>
          <w:ilvl w:val="0"/>
          <w:numId w:val="7"/>
        </w:numPr>
        <w:tabs>
          <w:tab w:val="left" w:pos="58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конкурентоспособности человека, базирующейся на целостности личности: нравственных принципов, наличие знаний и умение эти знания применять, способность человека учиться и развиваться.</w:t>
      </w:r>
    </w:p>
    <w:p w:rsidR="004F09D8" w:rsidRPr="00970939" w:rsidRDefault="004F09D8" w:rsidP="00970939">
      <w:pPr>
        <w:widowControl w:val="0"/>
        <w:spacing w:after="0" w:line="360" w:lineRule="auto"/>
        <w:ind w:left="-567" w:right="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целевым вектором совершающихся в современных усло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виях реформ образования является создание условий для сокращения, а в будущем и полное отсутствие разрыва между системой образования и по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требностями экономики. В условиях кризисных явлений, происходящих и в мире и в нашей стране, как не являющейся исключением из мировых про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блем, как никогда остро стоит задача воспитания конкурентоспособного человека, что невозможно без системы образования в стране.</w:t>
      </w:r>
    </w:p>
    <w:p w:rsidR="004F09D8" w:rsidRPr="00970939" w:rsidRDefault="004F09D8" w:rsidP="00970939">
      <w:pPr>
        <w:pStyle w:val="60"/>
        <w:shd w:val="clear" w:color="auto" w:fill="auto"/>
        <w:spacing w:after="0" w:line="360" w:lineRule="auto"/>
        <w:ind w:left="-567" w:right="20" w:firstLine="300"/>
        <w:jc w:val="both"/>
        <w:rPr>
          <w:sz w:val="28"/>
          <w:szCs w:val="28"/>
        </w:rPr>
      </w:pPr>
      <w:r w:rsidRPr="00970939">
        <w:rPr>
          <w:sz w:val="28"/>
          <w:szCs w:val="28"/>
        </w:rPr>
        <w:t>В «Концепции долгосрочного социально-эконо</w:t>
      </w:r>
      <w:bookmarkStart w:id="0" w:name="_GoBack"/>
      <w:bookmarkEnd w:id="0"/>
      <w:r w:rsidRPr="00970939">
        <w:rPr>
          <w:sz w:val="28"/>
          <w:szCs w:val="28"/>
        </w:rPr>
        <w:t xml:space="preserve">мического развития Российской Федерации на период до 2020 года» </w:t>
      </w:r>
      <w:r w:rsidR="00970939" w:rsidRPr="00970939">
        <w:rPr>
          <w:sz w:val="28"/>
          <w:szCs w:val="28"/>
        </w:rPr>
        <w:t xml:space="preserve"> </w:t>
      </w:r>
      <w:r w:rsidRPr="00970939">
        <w:rPr>
          <w:sz w:val="28"/>
          <w:szCs w:val="28"/>
        </w:rPr>
        <w:t>частно</w:t>
      </w:r>
      <w:r w:rsidRPr="00970939">
        <w:rPr>
          <w:sz w:val="28"/>
          <w:szCs w:val="28"/>
        </w:rPr>
        <w:softHyphen/>
        <w:t xml:space="preserve">государственное партнерство определено как основа развития экономики и системы образования. В этой связи </w:t>
      </w:r>
      <w:r w:rsidRPr="00970939">
        <w:rPr>
          <w:sz w:val="28"/>
          <w:szCs w:val="28"/>
        </w:rPr>
        <w:lastRenderedPageBreak/>
        <w:t>разработка и апробация методи</w:t>
      </w:r>
      <w:r w:rsidRPr="00970939">
        <w:rPr>
          <w:sz w:val="28"/>
          <w:szCs w:val="28"/>
        </w:rPr>
        <w:softHyphen/>
        <w:t>ческого обеспечения внедрения системы частно-государственного парт</w:t>
      </w:r>
      <w:r w:rsidRPr="00970939">
        <w:rPr>
          <w:sz w:val="28"/>
          <w:szCs w:val="28"/>
        </w:rPr>
        <w:softHyphen/>
        <w:t>нерства в сферу образования является важным условием достижения целевых ориентиров социально-экономического развития Российской Федерации. На сегодня в правовом масштабе реализована политика государства по созданию условий для большей самостоятельности образовательных учреждений, их заинтересованности и ответственности при выполнении своих функций. Принят Федеральный закон от 03.11.2006 г. №174-ФЗ «Об автономных учреждениях» и подзаконные акты к нему в рамках реализации закона, и т. д. В стране также с 2006 года существует понятие частно-государственного партнерства, которое по ряду различных и не</w:t>
      </w:r>
      <w:r w:rsidRPr="00970939">
        <w:rPr>
          <w:sz w:val="28"/>
          <w:szCs w:val="28"/>
        </w:rPr>
        <w:softHyphen/>
        <w:t>объективных причин до сих пор не имеет понятийного аппарата. При этом понятно, что достичь высокого качества образования с тенденцией его неукоснительного роста возможно только при соединении целей государства, опыта управления бизнесом и ответственностью самостоя</w:t>
      </w:r>
      <w:r w:rsidRPr="00970939">
        <w:rPr>
          <w:sz w:val="28"/>
          <w:szCs w:val="28"/>
        </w:rPr>
        <w:softHyphen/>
        <w:t>тельных хозяйствующих объектов.</w:t>
      </w:r>
    </w:p>
    <w:p w:rsidR="004F09D8" w:rsidRPr="00970939" w:rsidRDefault="004F09D8" w:rsidP="00970939">
      <w:pPr>
        <w:widowControl w:val="0"/>
        <w:spacing w:after="0" w:line="360" w:lineRule="auto"/>
        <w:ind w:left="-567" w:right="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системного внедрения ЧГП по всем уровням образования не осуществлено, хотя отдельные примеры успешного взаимодействия биз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неса и профессионального образования имеются. Одна из причин — не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развитость законодательной базы, сдерживающая эффективность взаи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модействия государства и бизнеса в сфере образования. Вторая причина, сдерживающая реальное внедрение ЧГП, — низкий уровень менеджмен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в социальной сфере</w:t>
      </w:r>
      <w:r w:rsid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чрезмерное контролирование, на что уходят силы и время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Крайне низкими темпами происходит транс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ляция эффективных стратегий управления имуществом, финансового менеджмента, управления персоналом, которые уже освоил и успешно применяет бизнес. В результате разрыв между бизнесом и образованием в использовании эффективных управленческих технологий только уве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личивается, и требуются специальные механизмы по его преодолению.</w:t>
      </w:r>
    </w:p>
    <w:p w:rsidR="00E113CB" w:rsidRPr="00970939" w:rsidRDefault="004F09D8" w:rsidP="00970939">
      <w:pPr>
        <w:widowControl w:val="0"/>
        <w:spacing w:after="0" w:line="360" w:lineRule="auto"/>
        <w:ind w:left="-567" w:right="20" w:firstLine="300"/>
        <w:jc w:val="both"/>
        <w:rPr>
          <w:color w:val="000000"/>
          <w:sz w:val="28"/>
          <w:szCs w:val="28"/>
          <w:lang w:eastAsia="ru-RU"/>
        </w:rPr>
      </w:pP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Проведенные аналитические исследования показали, что в современ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России практически отсутствует системная стратегия реализации ЧГП в сфере образования, что выражается: в отсутствии долгосрочных стратегий развития регионов, отраслей и организаций; в явной недо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статочности четко обозначенных стратегических приоритетов развития ЧГП; в неумении представителей сферы 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консолидировать все заинтересованные стороны в целях реализации планируемых про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 и проектов; в неразвитости форм «горизонтального» партнерства, в преобладании взаимодействия государственных органов исполни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власти с другими социальными партнерами на основе модели</w:t>
      </w:r>
      <w:r w:rsidR="00970939"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«управляемой демократии» .</w:t>
      </w:r>
    </w:p>
    <w:p w:rsidR="004F09D8" w:rsidRPr="00970939" w:rsidRDefault="004F09D8" w:rsidP="00970939">
      <w:pPr>
        <w:widowControl w:val="0"/>
        <w:spacing w:after="0" w:line="360" w:lineRule="auto"/>
        <w:ind w:left="-567" w:right="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отдельных форм ЧГП в сфере российского образования осуществляется в условиях, которые характеризуются:</w:t>
      </w:r>
    </w:p>
    <w:p w:rsidR="004F09D8" w:rsidRPr="002C71AF" w:rsidRDefault="004F09D8" w:rsidP="002C71AF">
      <w:pPr>
        <w:pStyle w:val="a7"/>
        <w:widowControl w:val="0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отсутствием экономических стимулов для социально ответствен</w:t>
      </w: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поведения бизнеса;</w:t>
      </w:r>
    </w:p>
    <w:p w:rsidR="004F09D8" w:rsidRPr="002C71AF" w:rsidRDefault="00970939" w:rsidP="002C71AF">
      <w:pPr>
        <w:pStyle w:val="a7"/>
        <w:widowControl w:val="0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отсутствием </w:t>
      </w:r>
      <w:r w:rsidR="004F09D8"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широкого участия бизнеса в выработке стратегических приорите</w:t>
      </w:r>
      <w:r w:rsidR="004F09D8"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государственной политики в сфере образования, обеспечивающих развитие кадрового потенциала;</w:t>
      </w:r>
    </w:p>
    <w:p w:rsidR="004F09D8" w:rsidRPr="002C71AF" w:rsidRDefault="004F09D8" w:rsidP="002C71AF">
      <w:pPr>
        <w:pStyle w:val="a7"/>
        <w:widowControl w:val="0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разобщенностью участников партнерств, низким уровнем их кон</w:t>
      </w: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солидации;</w:t>
      </w:r>
    </w:p>
    <w:p w:rsidR="004F09D8" w:rsidRPr="002C71AF" w:rsidRDefault="004F09D8" w:rsidP="002C71AF">
      <w:pPr>
        <w:pStyle w:val="a7"/>
        <w:widowControl w:val="0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неразвитостью корпоративных служб развития персонала в орга</w:t>
      </w: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низациях заказчиков образовательных услуг и низким уровнем квалифи</w:t>
      </w: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кации менеджеров по персоналу;</w:t>
      </w:r>
    </w:p>
    <w:p w:rsidR="004F09D8" w:rsidRPr="002C71AF" w:rsidRDefault="004F09D8" w:rsidP="002C71AF">
      <w:pPr>
        <w:pStyle w:val="a7"/>
        <w:widowControl w:val="0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неразвитостью институциональных форматов частно-государст</w:t>
      </w: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венного партнерства;</w:t>
      </w:r>
    </w:p>
    <w:p w:rsidR="00970939" w:rsidRPr="002C71AF" w:rsidRDefault="004F09D8" w:rsidP="002C71AF">
      <w:pPr>
        <w:pStyle w:val="a7"/>
        <w:widowControl w:val="0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неэффективностью использования бюджетных и частных ресурсов для подготовки и переподготовки выпускников учреждений начального и среднего профессионального образования с целью их последующего трудоустройства</w:t>
      </w:r>
      <w:r w:rsidR="00970939"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09D8" w:rsidRPr="002C71AF" w:rsidRDefault="00970939" w:rsidP="002C71AF">
      <w:pPr>
        <w:pStyle w:val="a7"/>
        <w:widowControl w:val="0"/>
        <w:numPr>
          <w:ilvl w:val="0"/>
          <w:numId w:val="6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недостаточным финансированием с одной стороны и чрезмерной отчетностью с другой стороны, что порождает недоверие и нежелание бизнеса вступать в данные проекты</w:t>
      </w:r>
      <w:r w:rsidR="004F09D8"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09D8" w:rsidRPr="00970939" w:rsidRDefault="004F09D8" w:rsidP="00970939">
      <w:pPr>
        <w:widowControl w:val="0"/>
        <w:spacing w:after="0" w:line="360" w:lineRule="auto"/>
        <w:ind w:left="-567" w:right="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Проблемами организационного характера ЧГП в сфере образования являются:</w:t>
      </w:r>
    </w:p>
    <w:p w:rsidR="004F09D8" w:rsidRPr="002C71AF" w:rsidRDefault="004F09D8" w:rsidP="002C71AF">
      <w:pPr>
        <w:pStyle w:val="a7"/>
        <w:widowControl w:val="0"/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адекватной инфраструктуры между рынками труда и об</w:t>
      </w: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разовательными услугами, осуществляющей взаимодействие между все</w:t>
      </w: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участниками частно-государственного партнерства;</w:t>
      </w:r>
    </w:p>
    <w:p w:rsidR="004F09D8" w:rsidRPr="002C71AF" w:rsidRDefault="004F09D8" w:rsidP="002C71AF">
      <w:pPr>
        <w:pStyle w:val="a7"/>
        <w:widowControl w:val="0"/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несовершенство нормативно-правовой базы, препятствующей раз</w:t>
      </w: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витию </w:t>
      </w: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партнерства в сфере образования и его институционализации;</w:t>
      </w:r>
    </w:p>
    <w:p w:rsidR="004F09D8" w:rsidRPr="002C71AF" w:rsidRDefault="004F09D8" w:rsidP="002C71AF">
      <w:pPr>
        <w:pStyle w:val="a7"/>
        <w:widowControl w:val="0"/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неразвитость управленческих практик и технологий реализации частно -государственных партнерств;</w:t>
      </w:r>
    </w:p>
    <w:p w:rsidR="004F09D8" w:rsidRPr="002C71AF" w:rsidRDefault="004F09D8" w:rsidP="002C71AF">
      <w:pPr>
        <w:pStyle w:val="a7"/>
        <w:widowControl w:val="0"/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подготовленность педагогических кадров к приме</w:t>
      </w: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нению современных образовательных и профессиональных технологий и дефицит менеджеров образования;</w:t>
      </w:r>
    </w:p>
    <w:p w:rsidR="004F09D8" w:rsidRPr="002C71AF" w:rsidRDefault="004F09D8" w:rsidP="002C71AF">
      <w:pPr>
        <w:pStyle w:val="a7"/>
        <w:widowControl w:val="0"/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 и физически устаревшая материально-техническая база</w:t>
      </w:r>
      <w:r w:rsidR="00970939"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многих еще </w:t>
      </w: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учреждений;</w:t>
      </w:r>
    </w:p>
    <w:p w:rsidR="004F09D8" w:rsidRPr="002C71AF" w:rsidRDefault="004F09D8" w:rsidP="002C71AF">
      <w:pPr>
        <w:pStyle w:val="a7"/>
        <w:widowControl w:val="0"/>
        <w:numPr>
          <w:ilvl w:val="0"/>
          <w:numId w:val="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нехватка квалифицированных преподавателей, а также невозмож</w:t>
      </w: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заинтересовать молодых специалистов в профессиональной дея</w:t>
      </w: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в этой сфере;</w:t>
      </w:r>
    </w:p>
    <w:p w:rsidR="004F09D8" w:rsidRPr="002C71AF" w:rsidRDefault="004F09D8" w:rsidP="002C71AF">
      <w:pPr>
        <w:pStyle w:val="a7"/>
        <w:widowControl w:val="0"/>
        <w:numPr>
          <w:ilvl w:val="0"/>
          <w:numId w:val="8"/>
        </w:numPr>
        <w:tabs>
          <w:tab w:val="left" w:pos="566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невысокий уровень заработной платы</w:t>
      </w: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фактор низкого престижа профессии педагога (преподавателя), </w:t>
      </w:r>
      <w:r w:rsidRPr="002C7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старение педагогических кадров</w:t>
      </w: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09D8" w:rsidRPr="00970939" w:rsidRDefault="004F09D8" w:rsidP="00970939">
      <w:pPr>
        <w:widowControl w:val="0"/>
        <w:spacing w:after="0" w:line="360" w:lineRule="auto"/>
        <w:ind w:left="-567" w:righ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настоящего времени </w:t>
      </w:r>
      <w:r w:rsidRPr="00970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системного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форм и механиз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 частно-государственного партнерства в сфере общего, дошкольного и дополнительного образования не осуществлялось, хотя имеются отдель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примеры успешного взаимодействия образовательных учреждений с бизнес-структурами, общественными организациями и родителями</w:t>
      </w:r>
      <w:r w:rsid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это скорее исключение, а не повсеместная практика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09D8" w:rsidRPr="00970939" w:rsidRDefault="004F09D8" w:rsidP="00970939">
      <w:pPr>
        <w:widowControl w:val="0"/>
        <w:spacing w:after="0" w:line="360" w:lineRule="auto"/>
        <w:ind w:left="-567" w:righ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ситуации с учетом специфики развития ЧГП применительно к сфере общего, дошкольного и дополнительного образования показы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вает, что такое развитие должно быть ориентировано на обеспечение:</w:t>
      </w:r>
    </w:p>
    <w:p w:rsidR="004F09D8" w:rsidRPr="002C71AF" w:rsidRDefault="004F09D8" w:rsidP="002C71AF">
      <w:pPr>
        <w:pStyle w:val="a7"/>
        <w:widowControl w:val="0"/>
        <w:numPr>
          <w:ilvl w:val="0"/>
          <w:numId w:val="9"/>
        </w:numPr>
        <w:tabs>
          <w:tab w:val="left" w:pos="566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 и кооперации государственных и частных ресурсов для достижения качества образования, отвечающего требованиям современной экономики и развитию общества;</w:t>
      </w:r>
    </w:p>
    <w:p w:rsidR="00970939" w:rsidRPr="002C71AF" w:rsidRDefault="002C71AF" w:rsidP="002C71AF">
      <w:pPr>
        <w:pStyle w:val="a7"/>
        <w:widowControl w:val="0"/>
        <w:numPr>
          <w:ilvl w:val="0"/>
          <w:numId w:val="9"/>
        </w:numPr>
        <w:tabs>
          <w:tab w:val="left" w:pos="566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09D8"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 в образование эффективных принципов управления, использу</w:t>
      </w:r>
      <w:r w:rsidR="00970939"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в бизнес-сфере</w:t>
      </w:r>
      <w:r w:rsidR="004F09D8" w:rsidRPr="002C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09D8" w:rsidRPr="00970939" w:rsidRDefault="004F09D8" w:rsidP="00970939">
      <w:pPr>
        <w:widowControl w:val="0"/>
        <w:tabs>
          <w:tab w:val="left" w:pos="566"/>
        </w:tabs>
        <w:spacing w:after="0" w:line="360" w:lineRule="auto"/>
        <w:ind w:left="-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механизмы ЧГП могут быть эффективны и на этапе до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школьного образования, в частности при финансировании предшколы, чтобы обеспечить равенство стартовых возможностей для детей из семей с разными доходами независимо от места проживания. В России пода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вляющее большинство 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учреждений дошкольного общего образования — государственные или муниципальные. Однако даже в государственных и муниципальных детских садах и школах семьи, как правило, оплачивают затраты на питание и экскурсии. Кроме этого, значительная доля семей оплачивает расходы на услуги дополнительного образования (платные музыкально-ритмические занятия, мероприятия по оздоровлению, обу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иностранному языку, компьютерные игры и т. п.).</w:t>
      </w:r>
    </w:p>
    <w:p w:rsidR="004F09D8" w:rsidRPr="00970939" w:rsidRDefault="004F09D8" w:rsidP="00970939">
      <w:pPr>
        <w:widowControl w:val="0"/>
        <w:spacing w:after="0" w:line="360" w:lineRule="auto"/>
        <w:ind w:left="-567" w:righ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 для внедрения ЧГП в дошкольном, общем и дополнитель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образовании имеет значимые региональные различия. В тех регио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нах, где низкий уровень платежеспособного спроса населения, а также экономического развития, отличающегося монопрофильностью отрас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лей, использование различных механизмов ЧГП имеет явные ограниче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В тех регионах, в которых высокий платежеспособный спрос, мно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гопрофильная отраслевая экономика, накопленный опыт технологий современного управления, внедрение ЧГП может быть гораздо более эф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фективным. Это означает, что одним из главных критериев при организа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ЧГП является включенность в политику социально-экономического развития региона, соответствие механизмов ЧГП интересам бизнеса и общественности, включая родителей.</w:t>
      </w:r>
    </w:p>
    <w:p w:rsidR="00970939" w:rsidRDefault="004F09D8" w:rsidP="00970939">
      <w:pPr>
        <w:widowControl w:val="0"/>
        <w:spacing w:after="0" w:line="360" w:lineRule="auto"/>
        <w:ind w:left="-567" w:righ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применение законов об автономных учреждениях и целевом капитале позволяют синхронизировать направления развития ЧГП в России для дошкольного, общего и дополнительного образования с зарубежной практикой. Налоговые льготы при формировании и ис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пользовании доходов от целевого капитала делают возможным не толь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использование опыта развитых стран, в частности США, Германии и Великобритании, но и участие представителей зарубежных бизнес</w:t>
      </w:r>
      <w:r w:rsid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компаний в ЧГП в России в сфере образования. </w:t>
      </w:r>
      <w:r w:rsid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Прозрачность деятельности образовательных учреждений и по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вышение их самостоятельности способствуют организации частногосударственных партнерств, повышают инвестиционную привлека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сферы образования, способствуют процессу включения об</w:t>
      </w:r>
      <w:r w:rsidRPr="0097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разовательных учреждений в сложившиеся обычаи делового оборота, принятые в некоммерческом секторе.</w:t>
      </w:r>
    </w:p>
    <w:p w:rsidR="00970939" w:rsidRPr="002C71AF" w:rsidRDefault="00970939" w:rsidP="00970125">
      <w:pPr>
        <w:widowControl w:val="0"/>
        <w:spacing w:after="0" w:line="360" w:lineRule="auto"/>
        <w:ind w:left="-567" w:right="20" w:firstLine="2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0939" w:rsidRPr="00970939" w:rsidRDefault="00970939" w:rsidP="00970939">
      <w:pPr>
        <w:widowControl w:val="0"/>
        <w:spacing w:after="0" w:line="360" w:lineRule="auto"/>
        <w:ind w:left="-567" w:righ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70939" w:rsidRPr="00970939" w:rsidSect="009709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A4" w:rsidRDefault="005667A4" w:rsidP="00DE7CDF">
      <w:pPr>
        <w:spacing w:after="0" w:line="240" w:lineRule="auto"/>
      </w:pPr>
      <w:r>
        <w:separator/>
      </w:r>
    </w:p>
  </w:endnote>
  <w:endnote w:type="continuationSeparator" w:id="1">
    <w:p w:rsidR="005667A4" w:rsidRDefault="005667A4" w:rsidP="00DE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A4" w:rsidRDefault="005667A4" w:rsidP="00DE7CDF">
      <w:pPr>
        <w:spacing w:after="0" w:line="240" w:lineRule="auto"/>
      </w:pPr>
      <w:r>
        <w:separator/>
      </w:r>
    </w:p>
  </w:footnote>
  <w:footnote w:type="continuationSeparator" w:id="1">
    <w:p w:rsidR="005667A4" w:rsidRDefault="005667A4" w:rsidP="00DE7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99C"/>
    <w:multiLevelType w:val="multilevel"/>
    <w:tmpl w:val="0EB6D6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012F2"/>
    <w:multiLevelType w:val="hybridMultilevel"/>
    <w:tmpl w:val="8348C982"/>
    <w:lvl w:ilvl="0" w:tplc="0419000B">
      <w:start w:val="1"/>
      <w:numFmt w:val="bullet"/>
      <w:lvlText w:val=""/>
      <w:lvlJc w:val="left"/>
      <w:pPr>
        <w:ind w:left="4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">
    <w:nsid w:val="247A1615"/>
    <w:multiLevelType w:val="hybridMultilevel"/>
    <w:tmpl w:val="E0640162"/>
    <w:lvl w:ilvl="0" w:tplc="0419000B">
      <w:start w:val="1"/>
      <w:numFmt w:val="bullet"/>
      <w:lvlText w:val=""/>
      <w:lvlJc w:val="left"/>
      <w:pPr>
        <w:ind w:left="4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3">
    <w:nsid w:val="26B80B80"/>
    <w:multiLevelType w:val="multilevel"/>
    <w:tmpl w:val="C0C498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8F035C"/>
    <w:multiLevelType w:val="hybridMultilevel"/>
    <w:tmpl w:val="81D2C05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46D1902"/>
    <w:multiLevelType w:val="multilevel"/>
    <w:tmpl w:val="306C3090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A6E58"/>
    <w:multiLevelType w:val="hybridMultilevel"/>
    <w:tmpl w:val="1526CA6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272426D"/>
    <w:multiLevelType w:val="multilevel"/>
    <w:tmpl w:val="01E032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545F39"/>
    <w:multiLevelType w:val="multilevel"/>
    <w:tmpl w:val="BE30C128"/>
    <w:lvl w:ilvl="0">
      <w:start w:val="1"/>
      <w:numFmt w:val="decimal"/>
      <w:lvlText w:val="1.1.%1.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F0C"/>
    <w:rsid w:val="000D2B6B"/>
    <w:rsid w:val="00287CC0"/>
    <w:rsid w:val="002C71AF"/>
    <w:rsid w:val="002E2F0C"/>
    <w:rsid w:val="00460CF1"/>
    <w:rsid w:val="004F09D8"/>
    <w:rsid w:val="005667A4"/>
    <w:rsid w:val="00792142"/>
    <w:rsid w:val="0088234A"/>
    <w:rsid w:val="009249C7"/>
    <w:rsid w:val="00970125"/>
    <w:rsid w:val="00970939"/>
    <w:rsid w:val="00AC1852"/>
    <w:rsid w:val="00C5353F"/>
    <w:rsid w:val="00CB5BC0"/>
    <w:rsid w:val="00DE7CDF"/>
    <w:rsid w:val="00E1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5353F"/>
    <w:rPr>
      <w:rFonts w:ascii="Malgun Gothic" w:eastAsia="Malgun Gothic" w:hAnsi="Malgun Gothic" w:cs="Malgun Gothic"/>
      <w:b/>
      <w:bCs/>
      <w:spacing w:val="-10"/>
      <w:sz w:val="59"/>
      <w:szCs w:val="59"/>
      <w:shd w:val="clear" w:color="auto" w:fill="FFFFFF"/>
    </w:rPr>
  </w:style>
  <w:style w:type="paragraph" w:customStyle="1" w:styleId="10">
    <w:name w:val="Заголовок №1"/>
    <w:basedOn w:val="a"/>
    <w:link w:val="1"/>
    <w:rsid w:val="00C5353F"/>
    <w:pPr>
      <w:widowControl w:val="0"/>
      <w:shd w:val="clear" w:color="auto" w:fill="FFFFFF"/>
      <w:spacing w:before="1920" w:after="1200" w:line="806" w:lineRule="exact"/>
      <w:jc w:val="center"/>
      <w:outlineLvl w:val="0"/>
    </w:pPr>
    <w:rPr>
      <w:rFonts w:ascii="Malgun Gothic" w:eastAsia="Malgun Gothic" w:hAnsi="Malgun Gothic" w:cs="Malgun Gothic"/>
      <w:b/>
      <w:bCs/>
      <w:spacing w:val="-10"/>
      <w:sz w:val="59"/>
      <w:szCs w:val="59"/>
    </w:rPr>
  </w:style>
  <w:style w:type="character" w:customStyle="1" w:styleId="a3">
    <w:name w:val="Сноска_"/>
    <w:basedOn w:val="a0"/>
    <w:link w:val="a4"/>
    <w:rsid w:val="00DE7C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Сноска + Курсив"/>
    <w:basedOn w:val="a3"/>
    <w:rsid w:val="00DE7C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DE7CDF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_"/>
    <w:basedOn w:val="a0"/>
    <w:link w:val="5"/>
    <w:rsid w:val="00DE7C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6"/>
    <w:rsid w:val="00DE7CDF"/>
    <w:pPr>
      <w:widowControl w:val="0"/>
      <w:shd w:val="clear" w:color="auto" w:fill="FFFFFF"/>
      <w:spacing w:after="960" w:line="240" w:lineRule="exac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Основной текст (5)_"/>
    <w:basedOn w:val="a0"/>
    <w:link w:val="51"/>
    <w:rsid w:val="00DE7CD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rsid w:val="00DE7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5Exact">
    <w:name w:val="Основной текст (5) Exact"/>
    <w:basedOn w:val="a0"/>
    <w:rsid w:val="00DE7C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sid w:val="00DE7CDF"/>
    <w:rPr>
      <w:rFonts w:ascii="Arial Narrow" w:eastAsia="Arial Narrow" w:hAnsi="Arial Narrow" w:cs="Arial Narrow"/>
      <w:i/>
      <w:iCs/>
      <w:spacing w:val="-13"/>
      <w:sz w:val="13"/>
      <w:szCs w:val="13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DE7CDF"/>
    <w:rPr>
      <w:rFonts w:ascii="Arial Narrow" w:eastAsia="Arial Narrow" w:hAnsi="Arial Narrow" w:cs="Arial Narrow"/>
      <w:spacing w:val="-1"/>
      <w:sz w:val="13"/>
      <w:szCs w:val="13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DE7CDF"/>
    <w:rPr>
      <w:rFonts w:ascii="Palatino Linotype" w:eastAsia="Palatino Linotype" w:hAnsi="Palatino Linotype" w:cs="Palatino Linotype"/>
      <w:spacing w:val="-7"/>
      <w:sz w:val="12"/>
      <w:szCs w:val="12"/>
      <w:shd w:val="clear" w:color="auto" w:fill="FFFFFF"/>
      <w:lang w:val="en-US"/>
    </w:rPr>
  </w:style>
  <w:style w:type="character" w:customStyle="1" w:styleId="9Exact">
    <w:name w:val="Основной текст (9) Exact"/>
    <w:basedOn w:val="a0"/>
    <w:link w:val="9"/>
    <w:rsid w:val="00DE7CDF"/>
    <w:rPr>
      <w:rFonts w:ascii="Arial Narrow" w:eastAsia="Arial Narrow" w:hAnsi="Arial Narrow" w:cs="Arial Narrow"/>
      <w:spacing w:val="-5"/>
      <w:sz w:val="13"/>
      <w:szCs w:val="13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DE7CDF"/>
    <w:rPr>
      <w:rFonts w:ascii="Arial Narrow" w:eastAsia="Arial Narrow" w:hAnsi="Arial Narrow" w:cs="Arial Narrow"/>
      <w:b/>
      <w:bCs/>
      <w:spacing w:val="-8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DE7CDF"/>
    <w:pPr>
      <w:widowControl w:val="0"/>
      <w:shd w:val="clear" w:color="auto" w:fill="FFFFFF"/>
      <w:spacing w:before="960" w:after="120" w:line="240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">
    <w:name w:val="Основной текст (6)"/>
    <w:basedOn w:val="a"/>
    <w:link w:val="6Exact"/>
    <w:rsid w:val="00DE7CDF"/>
    <w:pPr>
      <w:widowControl w:val="0"/>
      <w:shd w:val="clear" w:color="auto" w:fill="FFFFFF"/>
      <w:spacing w:after="0" w:line="91" w:lineRule="exact"/>
    </w:pPr>
    <w:rPr>
      <w:rFonts w:ascii="Arial Narrow" w:eastAsia="Arial Narrow" w:hAnsi="Arial Narrow" w:cs="Arial Narrow"/>
      <w:i/>
      <w:iCs/>
      <w:spacing w:val="-13"/>
      <w:sz w:val="13"/>
      <w:szCs w:val="13"/>
    </w:rPr>
  </w:style>
  <w:style w:type="paragraph" w:customStyle="1" w:styleId="7">
    <w:name w:val="Основной текст (7)"/>
    <w:basedOn w:val="a"/>
    <w:link w:val="7Exact"/>
    <w:rsid w:val="00DE7CDF"/>
    <w:pPr>
      <w:widowControl w:val="0"/>
      <w:shd w:val="clear" w:color="auto" w:fill="FFFFFF"/>
      <w:spacing w:after="0" w:line="91" w:lineRule="exact"/>
    </w:pPr>
    <w:rPr>
      <w:rFonts w:ascii="Arial Narrow" w:eastAsia="Arial Narrow" w:hAnsi="Arial Narrow" w:cs="Arial Narrow"/>
      <w:spacing w:val="-1"/>
      <w:sz w:val="13"/>
      <w:szCs w:val="13"/>
    </w:rPr>
  </w:style>
  <w:style w:type="paragraph" w:customStyle="1" w:styleId="8">
    <w:name w:val="Основной текст (8)"/>
    <w:basedOn w:val="a"/>
    <w:link w:val="8Exact"/>
    <w:rsid w:val="00DE7CDF"/>
    <w:pPr>
      <w:widowControl w:val="0"/>
      <w:shd w:val="clear" w:color="auto" w:fill="FFFFFF"/>
      <w:spacing w:after="0" w:line="91" w:lineRule="exact"/>
    </w:pPr>
    <w:rPr>
      <w:rFonts w:ascii="Palatino Linotype" w:eastAsia="Palatino Linotype" w:hAnsi="Palatino Linotype" w:cs="Palatino Linotype"/>
      <w:spacing w:val="-7"/>
      <w:sz w:val="12"/>
      <w:szCs w:val="12"/>
      <w:lang w:val="en-US"/>
    </w:rPr>
  </w:style>
  <w:style w:type="paragraph" w:customStyle="1" w:styleId="9">
    <w:name w:val="Основной текст (9)"/>
    <w:basedOn w:val="a"/>
    <w:link w:val="9Exact"/>
    <w:rsid w:val="00DE7CDF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5"/>
      <w:sz w:val="13"/>
      <w:szCs w:val="13"/>
    </w:rPr>
  </w:style>
  <w:style w:type="paragraph" w:customStyle="1" w:styleId="100">
    <w:name w:val="Основной текст (10)"/>
    <w:basedOn w:val="a"/>
    <w:link w:val="10Exact"/>
    <w:rsid w:val="00DE7CDF"/>
    <w:pPr>
      <w:widowControl w:val="0"/>
      <w:shd w:val="clear" w:color="auto" w:fill="FFFFFF"/>
      <w:spacing w:after="0" w:line="120" w:lineRule="exact"/>
    </w:pPr>
    <w:rPr>
      <w:rFonts w:ascii="Arial Narrow" w:eastAsia="Arial Narrow" w:hAnsi="Arial Narrow" w:cs="Arial Narrow"/>
      <w:b/>
      <w:bCs/>
      <w:spacing w:val="-8"/>
      <w:sz w:val="20"/>
      <w:szCs w:val="20"/>
    </w:rPr>
  </w:style>
  <w:style w:type="character" w:customStyle="1" w:styleId="52">
    <w:name w:val="Заголовок №5_"/>
    <w:basedOn w:val="a0"/>
    <w:link w:val="53"/>
    <w:rsid w:val="00DE7CDF"/>
    <w:rPr>
      <w:rFonts w:ascii="Malgun Gothic" w:eastAsia="Malgun Gothic" w:hAnsi="Malgun Gothic" w:cs="Malgun Gothic"/>
      <w:b/>
      <w:bCs/>
      <w:sz w:val="20"/>
      <w:szCs w:val="20"/>
      <w:shd w:val="clear" w:color="auto" w:fill="FFFFFF"/>
    </w:rPr>
  </w:style>
  <w:style w:type="paragraph" w:customStyle="1" w:styleId="53">
    <w:name w:val="Заголовок №5"/>
    <w:basedOn w:val="a"/>
    <w:link w:val="52"/>
    <w:rsid w:val="00DE7CDF"/>
    <w:pPr>
      <w:widowControl w:val="0"/>
      <w:shd w:val="clear" w:color="auto" w:fill="FFFFFF"/>
      <w:spacing w:before="1200" w:after="60" w:line="0" w:lineRule="atLeast"/>
      <w:ind w:hanging="1240"/>
      <w:jc w:val="both"/>
      <w:outlineLvl w:val="4"/>
    </w:pPr>
    <w:rPr>
      <w:rFonts w:ascii="Malgun Gothic" w:eastAsia="Malgun Gothic" w:hAnsi="Malgun Gothic" w:cs="Malgun Gothic"/>
      <w:b/>
      <w:bCs/>
      <w:sz w:val="20"/>
      <w:szCs w:val="20"/>
    </w:rPr>
  </w:style>
  <w:style w:type="paragraph" w:customStyle="1" w:styleId="60">
    <w:name w:val="Основной текст6"/>
    <w:basedOn w:val="a"/>
    <w:rsid w:val="004F09D8"/>
    <w:pPr>
      <w:widowControl w:val="0"/>
      <w:shd w:val="clear" w:color="auto" w:fill="FFFFFF"/>
      <w:spacing w:after="300" w:line="230" w:lineRule="exact"/>
      <w:ind w:hanging="280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">
    <w:name w:val="Сноска (2)_"/>
    <w:basedOn w:val="a0"/>
    <w:link w:val="20"/>
    <w:rsid w:val="00E113C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Сноска (2)"/>
    <w:basedOn w:val="a"/>
    <w:link w:val="2"/>
    <w:rsid w:val="00E113CB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C7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GorTS</cp:lastModifiedBy>
  <cp:revision>4</cp:revision>
  <dcterms:created xsi:type="dcterms:W3CDTF">2014-03-16T15:35:00Z</dcterms:created>
  <dcterms:modified xsi:type="dcterms:W3CDTF">2014-08-26T06:41:00Z</dcterms:modified>
</cp:coreProperties>
</file>